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pict>
          <v:shape id="_x0000_s1026" o:spid="_x0000_s1026" o:spt="202" type="#_x0000_t202" style="position:absolute;left:0pt;margin-left:25.35pt;margin-top:431.6pt;height:84pt;width:431.7pt;z-index:251661312;mso-width-relative:page;mso-height-relative:page;" filled="f" stroked="f" coordsize="21600,21600" o:gfxdata="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Uc9Mu1wAAAAsBAAAPAAAAAAAAAAEAIAAAACIA&#10;AABkcnMvZG93bnJldi54bWxQSwECFAAUAAAACACHTuJAz+dAWAoCAADcAwAADgAAAAAAAAABACAA&#10;AAAmAQAAZHJzL2Uyb0RvYy54bWxQSwUGAAAAAAYABgBZAQAAogUAAAAA&#10;">
            <v:path/>
            <v:fill on="f" focussize="0,0"/>
            <v:stroke on="f" joinstyle="miter"/>
            <v:imagedata o:title=""/>
            <o:lock v:ext="edit"/>
            <v:textbox>
              <w:txbxContent>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：136</w:t>
                  </w:r>
                </w:p>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部门名称</w:t>
                  </w:r>
                  <w:r>
                    <w:rPr>
                      <w:rFonts w:hint="eastAsia" w:ascii="楷体_GB2312" w:hAnsi="楷体_GB2312" w:eastAsia="楷体_GB2312" w:cs="楷体_GB2312"/>
                      <w:color w:val="000000"/>
                      <w:sz w:val="40"/>
                      <w:szCs w:val="40"/>
                    </w:rPr>
                    <w:t>：沙河市东石岭水库库渠事务中心</w:t>
                  </w:r>
                </w:p>
              </w:txbxContent>
            </v:textbox>
          </v:shape>
        </w:pict>
      </w:r>
      <w:r>
        <w:drawing>
          <wp:anchor distT="0" distB="0" distL="114300" distR="114300" simplePos="0" relativeHeight="251669504" behindDoc="0" locked="0" layoutInCell="1" allowOverlap="1">
            <wp:simplePos x="0" y="0"/>
            <wp:positionH relativeFrom="column">
              <wp:posOffset>2194560</wp:posOffset>
            </wp:positionH>
            <wp:positionV relativeFrom="paragraph">
              <wp:posOffset>2134870</wp:posOffset>
            </wp:positionV>
            <wp:extent cx="2160270" cy="1310640"/>
            <wp:effectExtent l="0" t="0" r="11430" b="3810"/>
            <wp:wrapNone/>
            <wp:docPr id="14" name="https://photo-static-api.fotomore.com/creative/vcg/400/version23/VCG41520173064.jpg" descr="templates\picture_hover\&amp;pky94109459339_sjzg_VCG41520173064&amp;2&amp;src_toppic_droprecent&amp;"/>
            <wp:cNvGraphicFramePr/>
            <a:graphic xmlns:a="http://schemas.openxmlformats.org/drawingml/2006/main">
              <a:graphicData uri="http://schemas.openxmlformats.org/drawingml/2006/picture">
                <pic:pic xmlns:pic="http://schemas.openxmlformats.org/drawingml/2006/picture">
                  <pic:nvPicPr>
                    <pic:cNvPr id="14" name="https://photo-static-api.fotomore.com/creative/vcg/400/version23/VCG41520173064.jpg" descr="templates\picture_hover\&amp;pky94109459339_sjzg_VCG41520173064&amp;2&amp;src_toppic_droprecent&amp;"/>
                    <pic:cNvPicPr/>
                  </pic:nvPicPr>
                  <pic:blipFill>
                    <a:blip r:embed="rId9" cstate="print"/>
                    <a:stretch>
                      <a:fillRect/>
                    </a:stretch>
                  </pic:blipFill>
                  <pic:spPr>
                    <a:xfrm>
                      <a:off x="0" y="0"/>
                      <a:ext cx="2160270" cy="1310640"/>
                    </a:xfrm>
                    <a:prstGeom prst="rect">
                      <a:avLst/>
                    </a:prstGeom>
                  </pic:spPr>
                </pic:pic>
              </a:graphicData>
            </a:graphic>
          </wp:anchor>
        </w:drawing>
      </w:r>
      <w:r>
        <w:drawing>
          <wp:anchor distT="0" distB="0" distL="114300" distR="114300" simplePos="0" relativeHeight="251667456" behindDoc="0" locked="0" layoutInCell="1" allowOverlap="1">
            <wp:simplePos x="0" y="0"/>
            <wp:positionH relativeFrom="column">
              <wp:posOffset>4421505</wp:posOffset>
            </wp:positionH>
            <wp:positionV relativeFrom="paragraph">
              <wp:posOffset>2134870</wp:posOffset>
            </wp:positionV>
            <wp:extent cx="2162810" cy="1310640"/>
            <wp:effectExtent l="0" t="0" r="8890" b="3810"/>
            <wp:wrapNone/>
            <wp:docPr id="8" name="https://photo-static-api.fotomore.com/creative/vcg/400/new/VCG41N1489769134.jpg?uid=386&amp;timestamp=1686554386&amp;sign=5f45ccbb5851510551cea00294a903df" descr="templates\picture_hover\&amp;pky17209834312_sjzg_VCG41N1489769134&amp;2&amp;src_toppic_droprecen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ttps://photo-static-api.fotomore.com/creative/vcg/400/new/VCG41N1489769134.jpg?uid=386&amp;timestamp=1686554386&amp;sign=5f45ccbb5851510551cea00294a903df" descr="templates\picture_hover\&amp;pky17209834312_sjzg_VCG41N1489769134&amp;2&amp;src_toppic_droprecent&amp;"/>
                    <pic:cNvPicPr>
                      <a:picLocks noChangeAspect="1"/>
                    </pic:cNvPicPr>
                  </pic:nvPicPr>
                  <pic:blipFill>
                    <a:blip r:embed="rId10" cstate="print"/>
                    <a:stretch>
                      <a:fillRect/>
                    </a:stretch>
                  </pic:blipFill>
                  <pic:spPr>
                    <a:xfrm>
                      <a:off x="0" y="0"/>
                      <a:ext cx="2162810" cy="1310640"/>
                    </a:xfrm>
                    <a:prstGeom prst="rect">
                      <a:avLst/>
                    </a:prstGeom>
                  </pic:spPr>
                </pic:pic>
              </a:graphicData>
            </a:graphic>
          </wp:anchor>
        </w:drawing>
      </w:r>
      <w:r>
        <w:pict>
          <v:group id="_x0000_s1035" o:spid="_x0000_s1035" o:spt="203" style="position:absolute;left:0pt;margin-left:-193.15pt;margin-top:167.9pt;height:113.95pt;width:712.85pt;z-index:251665408;mso-width-relative:page;mso-height-relative:page;" coordorigin="-3504,4387" coordsize="19200,2716203" o:gfxdata="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">
            <o:lock v:ext="edit"/>
            <v:rect id="矩形 19" o:spid="_x0000_s1038" o:spt="1" style="position:absolute;left:-381;top:4387;height:2457;width:1834;v-text-anchor:middle;" fillcolor="#0176AB" filled="t" stroked="f" coordsize="21600,21600" o:gfxdata="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P3v&#10;wAAAAN0AAAAPAAAAAAAAAAEAIAAAACIAAABkcnMvZG93bnJldi54bWxQSwECFAAUAAAACACHTuJA&#10;My8FnjsAAAA5AAAAEAAAAAAAAAABACAAAAAPAQAAZHJzL3NoYXBleG1sLnhtbFBLBQYAAAAABgAG&#10;AFsBAAC5AwAAAAA=&#10;">
              <v:path/>
              <v:fill on="t" focussize="0,0"/>
              <v:stroke on="f"/>
              <v:imagedata o:title=""/>
              <o:lock v:ext="edit"/>
            </v:rect>
            <v:shape id="矩形 24" o:spid="_x0000_s1037" o:spt="100" style="position:absolute;left:-3504;top:6953;height:150;width:11815;" fillcolor="#E5AA57" filled="t" stroked="f" coordsize="7501732,94593" o:gfxdata="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dX6O&#10;wAAAAN0AAAAPAAAAAAAAAAEAIAAAACIAAABkcnMvZG93bnJldi54bWxQSwECFAAUAAAACACHTuJA&#10;My8FnjsAAAA5AAAAEAAAAAAAAAABACAAAAAPAQAAZHJzL3NoYXBleG1sLnhtbFBLBQYAAAAABgAG&#10;AFsBAAC5AwAAAAA=&#10;" adj=",," path="m0,0l7458720,6350,7501732,94593,0,94593,0,0xe">
              <v:path o:connecttype="segments" o:connectlocs="0,0;7463453,6619;7506490,98604;0,98604;0,0" o:connectangles="0,0,0,0,0"/>
              <v:fill on="t" focussize="0,0"/>
              <v:stroke on="f" joinstyle="round"/>
              <v:imagedata o:title=""/>
              <o:lock v:ext="edit"/>
            </v:shape>
            <v:shape id="矩形 25" o:spid="_x0000_s1036" o:spt="100" style="position:absolute;left:8331;top:6953;height:150;width:7365;" fillcolor="#0176AB" filled="t" stroked="f" coordsize="4676187,94594" o:gfxdata="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9GhB25AAAA3QAA&#10;AA8AAAAAAAAAAQAgAAAAIgAAAGRycy9kb3ducmV2LnhtbFBLAQIUABQAAAAIAIdO4kAzLwWeOwAA&#10;ADkAAAAQAAAAAAAAAAEAIAAAAAgBAABkcnMvc2hhcGV4bWwueG1sUEsFBgAAAAAGAAYAWwEAALID&#10;AAAAAA==&#10;" adj=",," path="m0,0l4676187,0,4676187,94594,57510,94594,0,0xe">
              <v:path o:connecttype="segments" o:connectlocs="0,0;4679715,0;4679715,98599;57552,98599;0,0" o:connectangles="0,0,0,0,0"/>
              <v:fill on="t" focussize="0,0"/>
              <v:stroke on="f" joinstyle="round"/>
              <v:imagedata o:title=""/>
              <o:lock v:ext="edit"/>
            </v:shape>
          </v:group>
        </w:pict>
      </w:r>
      <w:r>
        <w:drawing>
          <wp:anchor distT="0" distB="0" distL="114300" distR="114300" simplePos="0" relativeHeight="251668480" behindDoc="0" locked="0" layoutInCell="1" allowOverlap="1">
            <wp:simplePos x="0" y="0"/>
            <wp:positionH relativeFrom="column">
              <wp:posOffset>-44450</wp:posOffset>
            </wp:positionH>
            <wp:positionV relativeFrom="paragraph">
              <wp:posOffset>2134870</wp:posOffset>
            </wp:positionV>
            <wp:extent cx="2159000" cy="1310640"/>
            <wp:effectExtent l="0" t="0" r="12700" b="3810"/>
            <wp:wrapNone/>
            <wp:docPr id="12" name="https://photo-static-api.fotomore.com/creative/vcg/400/new/VCG211393708916.jpg" descr="templates\picture_hover\&amp;pky00203123560_sjzg_VCG211393708916&amp;2&amp;src_toppic_droprecen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ttps://photo-static-api.fotomore.com/creative/vcg/400/new/VCG211393708916.jpg" descr="templates\picture_hover\&amp;pky00203123560_sjzg_VCG211393708916&amp;2&amp;src_toppic_droprecent&amp;"/>
                    <pic:cNvPicPr>
                      <a:picLocks noChangeAspect="1"/>
                    </pic:cNvPicPr>
                  </pic:nvPicPr>
                  <pic:blipFill>
                    <a:blip r:embed="rId11" cstate="print"/>
                    <a:stretch>
                      <a:fillRect/>
                    </a:stretch>
                  </pic:blipFill>
                  <pic:spPr>
                    <a:xfrm>
                      <a:off x="0" y="0"/>
                      <a:ext cx="2159000" cy="1310640"/>
                    </a:xfrm>
                    <a:prstGeom prst="rect">
                      <a:avLst/>
                    </a:prstGeom>
                  </pic:spPr>
                </pic:pic>
              </a:graphicData>
            </a:graphic>
          </wp:anchor>
        </w:drawing>
      </w:r>
      <w:r>
        <w:pict>
          <v:group id="_x0000_s1030" o:spid="_x0000_s1030" o:spt="203" style="position:absolute;left:0pt;margin-left:-22.1pt;margin-top:-24.65pt;height:148.45pt;width:468.85pt;z-index:251662336;mso-width-relative:page;mso-height-relative:page;" coordorigin="12098,1831" coordsize="9377,2969203" o:gfxdata="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JUHC8XbAAAACwEAAA8AAAAAAAAAAQAgAAAA&#10;IgAAAGRycy9kb3ducmV2LnhtbFBLAQIUABQAAAAIAIdO4kC5jxvuJQMAAPYIAAAOAAAAAAAAAAEA&#10;IAAAACoBAABkcnMvZTJvRG9jLnhtbFBLBQYAAAAABgAGAFkBAADBBgAAAAA=&#10;">
            <o:lock v:ext="edit"/>
            <v:shape id="文本框 32" o:spid="_x0000_s1034" o:spt="202" type="#_x0000_t202" style="position:absolute;left:13325;top:1831;height:1348;width:4462;" filled="f" stroked="f" coordsize="21600,21600" o:gfxdata="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oO67LsAAADb&#10;AAAADwAAAAAAAAABACAAAAAiAAAAZHJzL2Rvd25yZXYueG1sUEsBAhQAFAAAAAgAh07iQDMvBZ47&#10;AAAAOQAAABAAAAAAAAAAAQAgAAAACgEAAGRycy9zaGFwZXhtbC54bWxQSwUGAAAAAAYABgBbAQAA&#10;tAMAAAAA&#10;">
              <v:path/>
              <v:fill on="f" focussize="0,0"/>
              <v:stroke on="f" joinstyle="miter"/>
              <v:imagedata o:title=""/>
              <o:lock v:ext="edit"/>
              <v:textbox>
                <w:txbxContent>
                  <w:p>
                    <w:pPr>
                      <w:jc w:val="distribute"/>
                      <w:rPr>
                        <w:rFonts w:ascii="方正魏碑简体" w:hAnsi="Arial" w:eastAsia="方正魏碑简体" w:cs="Arial"/>
                        <w:color w:val="000000" w:themeColor="text1"/>
                        <w:kern w:val="0"/>
                        <w:sz w:val="22"/>
                      </w:rPr>
                    </w:pPr>
                    <w:r>
                      <w:rPr>
                        <w:rFonts w:hint="eastAsia" w:ascii="方正魏碑简体" w:hAnsi="Arial" w:eastAsia="方正魏碑简体" w:cs="Arial"/>
                        <w:color w:val="000000" w:themeColor="text1"/>
                        <w:spacing w:val="60"/>
                        <w:kern w:val="24"/>
                        <w:sz w:val="72"/>
                        <w:szCs w:val="72"/>
                      </w:rPr>
                      <w:t>2023年度</w:t>
                    </w:r>
                  </w:p>
                </w:txbxContent>
              </v:textbox>
            </v:shape>
            <v:group id="_x0000_s1031" o:spid="_x0000_s1031" o:spt="203" style="position:absolute;left:12098;top:3193;height:1607;width:9377;" coordorigin="6119,2843" coordsize="9377,1607203"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v:shape id="文本框 32" o:spid="_x0000_s1033" o:spt="202" type="#_x0000_t202" style="position:absolute;left:6119;top:2843;height:1421;width:9377;" filled="f" stroked="f" coordsize="21600,21600" o:gfxdata="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wgN7sAAADb&#10;AAAADwAAAAAAAAABACAAAAAiAAAAZHJzL2Rvd25yZXYueG1sUEsBAhQAFAAAAAgAh07iQDMvBZ47&#10;AAAAOQAAABAAAAAAAAAAAQAgAAAACgEAAGRycy9zaGFwZXhtbC54bWxQSwUGAAAAAAYABgBbAQAA&#10;tAMAAAAA&#10;">
                <v:path/>
                <v:fill on="f" focussize="0,0"/>
                <v:stroke on="f" joinstyle="miter"/>
                <v:imagedata o:title=""/>
                <o:lock v:ext="edit"/>
                <v:textbox>
                  <w:txbxContent>
                    <w:p>
                      <w:pPr>
                        <w:jc w:val="left"/>
                        <w:rPr>
                          <w:rFonts w:ascii="黑体" w:hAnsi="黑体" w:eastAsia="黑体" w:cs="黑体"/>
                          <w:color w:val="000000" w:themeColor="text1"/>
                          <w:kern w:val="0"/>
                          <w:sz w:val="24"/>
                          <w:szCs w:val="24"/>
                        </w:rPr>
                      </w:pPr>
                      <w:r>
                        <w:rPr>
                          <w:rFonts w:hint="eastAsia" w:ascii="黑体" w:hAnsi="黑体" w:eastAsia="黑体" w:cs="黑体"/>
                          <w:color w:val="000000" w:themeColor="text1"/>
                          <w:spacing w:val="60"/>
                          <w:kern w:val="24"/>
                          <w:sz w:val="96"/>
                          <w:szCs w:val="96"/>
                        </w:rPr>
                        <w:t>部门决算公开文本</w:t>
                      </w:r>
                    </w:p>
                  </w:txbxContent>
                </v:textbox>
              </v:shape>
              <v:line id="_x0000_s1032" o:spid="_x0000_s1032" o:spt="20" style="position:absolute;left:6226;top:4450;height:0;width:8700;" stroked="t" coordsize="21600,21600" o:gfxdata="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kshgLsAAADa&#10;AAAADwAAAAAAAAABACAAAAAiAAAAZHJzL2Rvd25yZXYueG1sUEsBAhQAFAAAAAgAh07iQDMvBZ47&#10;AAAAOQAAABAAAAAAAAAAAQAgAAAACgEAAGRycy9zaGFwZXhtbC54bWxQSwUGAAAAAAYABgBbAQAA&#10;tAMAAAAA&#10;">
                <v:path arrowok="t"/>
                <v:fill focussize="0,0"/>
                <v:stroke weight="2.25pt" color="#41719C" joinstyle="miter" dashstyle="1 1"/>
                <v:imagedata o:title=""/>
                <o:lock v:ext="edit"/>
              </v:line>
            </v:group>
          </v:group>
        </w:pict>
      </w:r>
      <w:r>
        <w:drawing>
          <wp:anchor distT="0" distB="0" distL="114300" distR="114300" simplePos="0" relativeHeight="251666432" behindDoc="0" locked="0" layoutInCell="1" allowOverlap="1">
            <wp:simplePos x="0" y="0"/>
            <wp:positionH relativeFrom="column">
              <wp:posOffset>-95250</wp:posOffset>
            </wp:positionH>
            <wp:positionV relativeFrom="margin">
              <wp:posOffset>-27305</wp:posOffset>
            </wp:positionV>
            <wp:extent cx="506095" cy="506095"/>
            <wp:effectExtent l="0" t="0" r="8255" b="8255"/>
            <wp:wrapNone/>
            <wp:docPr id="3" name="图片 3" descr="32313539313538323b32313539313537353bb5e7c4d4b0ecb9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2313539313538323b32313539313537353bb5e7c4d4b0ecb9ab"/>
                    <pic:cNvPicPr>
                      <a:picLocks noChangeAspect="1"/>
                    </pic:cNvPicPr>
                  </pic:nvPicPr>
                  <pic:blipFill>
                    <a:blip r:embed="rId12" cstate="print"/>
                    <a:stretch>
                      <a:fillRect/>
                    </a:stretch>
                  </pic:blipFill>
                  <pic:spPr>
                    <a:xfrm>
                      <a:off x="0" y="0"/>
                      <a:ext cx="506095" cy="506095"/>
                    </a:xfrm>
                    <a:prstGeom prst="rect">
                      <a:avLst/>
                    </a:prstGeom>
                  </pic:spPr>
                </pic:pic>
              </a:graphicData>
            </a:graphic>
          </wp:anchor>
        </w:drawing>
      </w:r>
      <w:r>
        <w:pict>
          <v:shape id="_x0000_s1029" o:spid="_x0000_s1029" o:spt="202" type="#_x0000_t202" style="position:absolute;left:0pt;margin-left:88.2pt;margin-top:625.4pt;height:41pt;width:256.7pt;z-index:251663360;mso-width-relative:page;mso-height-relative:page;" filled="f" stroked="f" coordsize="21600,21600" o:gfxdata="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57Bx2AAAAA0BAAAPAAAAAAAAAAEAIAAAACIA&#10;AABkcnMvZG93bnJldi54bWxQSwECFAAUAAAACACHTuJAHoOjvwkCAADcAwAADgAAAAAAAAABACAA&#10;AAAnAQAAZHJzL2Uyb0RvYy54bWxQSwUGAAAAAAYABgBZAQAAogUAAAAA&#10;">
            <v:path/>
            <v:fill on="f" focussize="0,0"/>
            <v:stroke on="f" joinstyle="miter"/>
            <v:imagedata o:title=""/>
            <o:lock v:ext="edit"/>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二〇二四年十月</w:t>
                  </w:r>
                </w:p>
              </w:txbxContent>
            </v:textbox>
          </v:shape>
        </w:pict>
      </w:r>
      <w:r>
        <w:pict>
          <v:shape id="文本框 33" o:spid="_x0000_s1028" o:spt="202" type="#_x0000_t202" style="position:absolute;left:0pt;margin-left:-19.95pt;margin-top:126.9pt;height:44.9pt;width:432.6pt;z-index:251660288;mso-width-relative:page;mso-height-relative:page;" filled="f" stroked="f" coordsize="21600,21600" o:gfxdata="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ZqWWv2AAAAAsBAAAPAAAAAAAA&#10;AAEAIAAAACIAAABkcnMvZG93bnJldi54bWxQSwECFAAUAAAACACHTuJA5W10YaABAAARAwAADgAA&#10;AAAAAAABACAAAAAnAQAAZHJzL2Uyb0RvYy54bWxQSwUGAAAAAAYABgBZAQAAOQUAAAAA&#10;">
            <v:path/>
            <v:fill on="f" focussize="0,0"/>
            <v:stroke on="f" joinstyle="miter"/>
            <v:imagedata o:title=""/>
            <o:lock v:ext="edit"/>
            <v:textbox>
              <w:txbxContent>
                <w:p>
                  <w:pPr>
                    <w:jc w:val="distribute"/>
                    <w:rPr>
                      <w:rFonts w:ascii="思源黑体 CN Heavy" w:hAnsi="思源黑体 CN Heavy" w:eastAsia="思源黑体 CN Heavy"/>
                      <w:color w:val="A5A5A5" w:themeColor="background1" w:themeShade="A6"/>
                      <w:kern w:val="0"/>
                      <w:sz w:val="40"/>
                      <w:szCs w:val="40"/>
                    </w:rPr>
                  </w:pPr>
                </w:p>
              </w:txbxContent>
            </v:textbox>
          </v:shape>
        </w:pict>
      </w:r>
      <w:r>
        <w:drawing>
          <wp:anchor distT="0" distB="0" distL="114300" distR="114300" simplePos="0" relativeHeight="251659264" behindDoc="0" locked="0" layoutInCell="1" allowOverlap="1">
            <wp:simplePos x="0" y="0"/>
            <wp:positionH relativeFrom="margin">
              <wp:posOffset>-2810510</wp:posOffset>
            </wp:positionH>
            <wp:positionV relativeFrom="margin">
              <wp:posOffset>304165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rot="16200000">
                      <a:off x="0" y="0"/>
                      <a:ext cx="11083290" cy="7844790"/>
                    </a:xfrm>
                    <a:prstGeom prst="rect">
                      <a:avLst/>
                    </a:prstGeom>
                  </pic:spPr>
                </pic:pic>
              </a:graphicData>
            </a:graphic>
          </wp:anchor>
        </w:drawing>
      </w:r>
      <w:r>
        <w:br w:type="page"/>
      </w:r>
    </w:p>
    <w:p>
      <w:pPr>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2023年</w:t>
      </w:r>
      <w:r>
        <w:rPr>
          <w:rFonts w:ascii="Times New Roman" w:hAnsi="Times New Roman" w:eastAsia="黑体" w:cs="Times New Roman"/>
          <w:sz w:val="32"/>
          <w:szCs w:val="32"/>
        </w:rPr>
        <w:t>度部门决算报表</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五、一般公共预算财政拨款支出决算表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六、一般公共预算财政拨款基本支出决算明细表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七、政府性基金预算财政拨款收入支出决算表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国有资本经营预算财政拨款支出决算表</w:t>
      </w:r>
    </w:p>
    <w:p>
      <w:pPr>
        <w:widowControl/>
        <w:spacing w:after="160" w:line="580" w:lineRule="exact"/>
        <w:ind w:left="640" w:firstLine="640" w:firstLineChars="200"/>
        <w:rPr>
          <w:rFonts w:ascii="Times New Roman" w:hAnsi="Times New Roman" w:eastAsia="仿宋_GB2312" w:cs="Times New Roman"/>
          <w:sz w:val="20"/>
          <w:szCs w:val="32"/>
        </w:rPr>
      </w:pPr>
      <w:r>
        <w:rPr>
          <w:rFonts w:hint="eastAsia" w:ascii="Times New Roman" w:hAnsi="Times New Roman" w:eastAsia="仿宋_GB2312" w:cs="Times New Roman"/>
          <w:sz w:val="32"/>
          <w:szCs w:val="32"/>
        </w:rPr>
        <w:t>九、财政拨款“三公”经费支出决算表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2023年度</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五、财政拨款“三公”经费支出决算情况说明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六、机关运行经费支出说明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七、政府采购支出说明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八、国有资产占用情况说明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黑体" w:cs="Times New Roman"/>
          <w:sz w:val="32"/>
          <w:szCs w:val="32"/>
        </w:rPr>
        <w:sectPr>
          <w:headerReference r:id="rId4" w:type="first"/>
          <w:footerReference r:id="rId6" w:type="first"/>
          <w:headerReference r:id="rId3" w:type="default"/>
          <w:footerReference r:id="rId5" w:type="default"/>
          <w:pgSz w:w="11906" w:h="16838"/>
          <w:pgMar w:top="1474" w:right="1531" w:bottom="1474" w:left="1531" w:header="851" w:footer="992" w:gutter="0"/>
          <w:cols w:space="0" w:num="1"/>
          <w:titlePg/>
          <w:docGrid w:type="lines" w:linePitch="312" w:charSpace="0"/>
        </w:sectPr>
      </w:pPr>
    </w:p>
    <w:p>
      <w:pPr>
        <w:widowControl/>
        <w:jc w:val="center"/>
        <w:rPr>
          <w:rFonts w:ascii="黑体" w:hAnsi="黑体" w:eastAsia="黑体" w:cs="黑体"/>
          <w:color w:val="000000" w:themeColor="text1"/>
          <w:sz w:val="44"/>
          <w:szCs w:val="44"/>
        </w:rPr>
      </w:pPr>
      <w:r>
        <w:rPr>
          <w:rFonts w:hint="eastAsia" w:ascii="黑体" w:hAnsi="黑体" w:eastAsia="黑体" w:cs="黑体"/>
          <w:color w:val="000000" w:themeColor="text1"/>
          <w:sz w:val="44"/>
          <w:szCs w:val="44"/>
        </w:rPr>
        <w:t xml:space="preserve"> 第一部分  部门概况</w:t>
      </w:r>
    </w:p>
    <w:p>
      <w:pPr>
        <w:widowControl/>
        <w:spacing w:line="580" w:lineRule="exact"/>
        <w:ind w:firstLine="640" w:firstLineChars="200"/>
        <w:rPr>
          <w:rFonts w:eastAsia="黑体"/>
          <w:sz w:val="32"/>
          <w:szCs w:val="32"/>
        </w:rPr>
      </w:pP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snapToGrid w:val="0"/>
        <w:spacing w:line="400" w:lineRule="exact"/>
        <w:ind w:firstLine="640" w:firstLineChars="200"/>
        <w:rPr>
          <w:rFonts w:ascii="仿宋_GB2312" w:hAnsi="仿宋" w:eastAsia="仿宋_GB2312"/>
          <w:sz w:val="32"/>
          <w:szCs w:val="32"/>
        </w:rPr>
      </w:pPr>
      <w:r>
        <w:rPr>
          <w:rFonts w:hint="eastAsia" w:ascii="仿宋_GB2312" w:hAnsi="仿宋" w:eastAsia="仿宋_GB2312" w:cs="Times New Roman"/>
          <w:sz w:val="32"/>
          <w:szCs w:val="32"/>
        </w:rPr>
        <w:t>（1）负责库渠工程防汛工作，确保水库安全调度运行。</w:t>
      </w:r>
    </w:p>
    <w:p>
      <w:pPr>
        <w:snapToGrid w:val="0"/>
        <w:spacing w:line="400" w:lineRule="exact"/>
        <w:ind w:firstLine="640" w:firstLineChars="200"/>
        <w:rPr>
          <w:rFonts w:ascii="仿宋_GB2312" w:hAnsi="仿宋" w:eastAsia="仿宋_GB2312"/>
          <w:sz w:val="32"/>
          <w:szCs w:val="32"/>
        </w:rPr>
      </w:pPr>
      <w:r>
        <w:rPr>
          <w:rFonts w:hint="eastAsia" w:ascii="仿宋_GB2312" w:hAnsi="仿宋" w:eastAsia="仿宋_GB2312" w:cs="Times New Roman"/>
          <w:sz w:val="32"/>
          <w:szCs w:val="32"/>
        </w:rPr>
        <w:t>（2）负责大坝等枢纽工程的维护、养护工作，确保工程安全运行。</w:t>
      </w:r>
    </w:p>
    <w:p>
      <w:pPr>
        <w:snapToGrid w:val="0"/>
        <w:spacing w:line="400" w:lineRule="exact"/>
        <w:ind w:firstLine="640" w:firstLineChars="200"/>
        <w:rPr>
          <w:rFonts w:ascii="仿宋_GB2312" w:hAnsi="仿宋" w:eastAsia="仿宋_GB2312"/>
          <w:sz w:val="32"/>
          <w:szCs w:val="32"/>
        </w:rPr>
      </w:pPr>
      <w:r>
        <w:rPr>
          <w:rFonts w:hint="eastAsia" w:ascii="仿宋_GB2312" w:hAnsi="仿宋" w:eastAsia="仿宋_GB2312" w:cs="Times New Roman"/>
          <w:sz w:val="32"/>
          <w:szCs w:val="32"/>
        </w:rPr>
        <w:t>（3）负责灌区管理工作，确保受益乡村农田适时灌溉，生活饮用水及时供应。</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widowControl/>
        <w:spacing w:after="160" w:line="580" w:lineRule="exact"/>
        <w:ind w:firstLine="640" w:firstLineChars="200"/>
        <w:rPr>
          <w:rFonts w:ascii="仿宋" w:hAnsi="仿宋" w:eastAsia="仿宋" w:cs="Times New Roman"/>
          <w:sz w:val="32"/>
          <w:szCs w:val="32"/>
        </w:rPr>
      </w:pPr>
      <w:r>
        <w:rPr>
          <w:rFonts w:hint="eastAsia" w:ascii="仿宋_GB2312" w:hAnsi="Calibri" w:eastAsia="仿宋_GB2312" w:cs="ArialUnicodeMS"/>
          <w:kern w:val="0"/>
          <w:sz w:val="32"/>
          <w:szCs w:val="32"/>
        </w:rPr>
        <w:t>从决算编报单位构成看，</w:t>
      </w:r>
      <w:r>
        <w:rPr>
          <w:rFonts w:hint="eastAsia" w:ascii="仿宋_GB2312" w:hAnsi="仿宋" w:eastAsia="仿宋_GB2312"/>
          <w:sz w:val="32"/>
          <w:szCs w:val="32"/>
        </w:rPr>
        <w:t>我部门无二级预算单位，因此</w:t>
      </w:r>
      <w:r>
        <w:rPr>
          <w:rFonts w:hint="eastAsia" w:ascii="Times New Roman" w:hAnsi="Times New Roman" w:eastAsia="黑体" w:cs="Times New Roman"/>
          <w:sz w:val="32"/>
          <w:szCs w:val="32"/>
        </w:rPr>
        <w:t>，</w:t>
      </w:r>
      <w:r>
        <w:rPr>
          <w:rFonts w:hint="eastAsia" w:ascii="仿宋_GB2312" w:hAnsi="仿宋" w:eastAsia="仿宋_GB2312"/>
          <w:sz w:val="32"/>
          <w:szCs w:val="32"/>
        </w:rPr>
        <w:t>沙河市东石岭水库库渠事务中心</w:t>
      </w:r>
      <w:r>
        <w:rPr>
          <w:rFonts w:hint="eastAsia" w:ascii="仿宋" w:hAnsi="仿宋" w:eastAsia="仿宋" w:cs="Times New Roman"/>
          <w:sz w:val="32"/>
          <w:szCs w:val="32"/>
        </w:rPr>
        <w:t>2023年度部门决算即沙河市东石岭水库库渠事务中心本级2023年度决算。”</w:t>
      </w:r>
    </w:p>
    <w:p>
      <w:pPr>
        <w:widowControl/>
        <w:spacing w:after="160" w:line="580" w:lineRule="exact"/>
        <w:rPr>
          <w:rFonts w:ascii="黑体" w:hAnsi="黑体" w:eastAsia="黑体" w:cs="黑体"/>
          <w:color w:val="000000" w:themeColor="text1"/>
          <w:sz w:val="44"/>
          <w:szCs w:val="44"/>
        </w:rPr>
      </w:pPr>
    </w:p>
    <w:p>
      <w:pPr>
        <w:widowControl/>
        <w:spacing w:after="160" w:line="580" w:lineRule="exact"/>
        <w:rPr>
          <w:rFonts w:ascii="黑体" w:hAnsi="黑体" w:eastAsia="黑体" w:cs="黑体"/>
          <w:color w:val="000000" w:themeColor="text1"/>
          <w:sz w:val="44"/>
          <w:szCs w:val="44"/>
        </w:rPr>
      </w:pPr>
    </w:p>
    <w:p>
      <w:pPr>
        <w:widowControl/>
        <w:spacing w:after="160" w:line="580" w:lineRule="exact"/>
        <w:rPr>
          <w:rFonts w:ascii="黑体" w:hAnsi="黑体" w:eastAsia="黑体" w:cs="黑体"/>
          <w:color w:val="000000" w:themeColor="text1"/>
          <w:sz w:val="44"/>
          <w:szCs w:val="44"/>
        </w:rPr>
      </w:pPr>
    </w:p>
    <w:p>
      <w:pPr>
        <w:widowControl/>
        <w:spacing w:after="160" w:line="580" w:lineRule="exact"/>
        <w:rPr>
          <w:rFonts w:ascii="黑体" w:hAnsi="黑体" w:eastAsia="黑体" w:cs="黑体"/>
          <w:color w:val="000000" w:themeColor="text1"/>
          <w:sz w:val="44"/>
          <w:szCs w:val="44"/>
        </w:rPr>
      </w:pPr>
    </w:p>
    <w:p>
      <w:pPr>
        <w:widowControl/>
        <w:spacing w:after="160" w:line="580" w:lineRule="exact"/>
        <w:rPr>
          <w:rFonts w:ascii="黑体" w:hAnsi="黑体" w:eastAsia="黑体" w:cs="黑体"/>
          <w:color w:val="000000" w:themeColor="text1"/>
          <w:sz w:val="44"/>
          <w:szCs w:val="44"/>
        </w:rPr>
      </w:pPr>
    </w:p>
    <w:p>
      <w:pPr>
        <w:widowControl/>
        <w:spacing w:after="160" w:line="580" w:lineRule="exact"/>
        <w:rPr>
          <w:rFonts w:ascii="黑体" w:hAnsi="黑体" w:eastAsia="黑体" w:cs="黑体"/>
          <w:color w:val="000000" w:themeColor="text1"/>
          <w:sz w:val="44"/>
          <w:szCs w:val="44"/>
        </w:rPr>
      </w:pPr>
    </w:p>
    <w:p>
      <w:pPr>
        <w:widowControl/>
        <w:spacing w:after="160" w:line="580" w:lineRule="exact"/>
        <w:rPr>
          <w:rFonts w:ascii="黑体" w:hAnsi="黑体" w:eastAsia="黑体" w:cs="黑体"/>
          <w:color w:val="000000" w:themeColor="text1"/>
          <w:sz w:val="44"/>
          <w:szCs w:val="44"/>
        </w:rPr>
      </w:pPr>
    </w:p>
    <w:p>
      <w:pPr>
        <w:widowControl/>
        <w:spacing w:after="160" w:line="580" w:lineRule="exact"/>
        <w:rPr>
          <w:rFonts w:ascii="黑体" w:hAnsi="黑体" w:eastAsia="黑体" w:cs="黑体"/>
          <w:color w:val="000000" w:themeColor="text1"/>
          <w:sz w:val="44"/>
          <w:szCs w:val="44"/>
        </w:rPr>
      </w:pPr>
    </w:p>
    <w:p>
      <w:pPr>
        <w:widowControl/>
        <w:spacing w:after="160" w:line="580" w:lineRule="exact"/>
        <w:rPr>
          <w:rFonts w:ascii="黑体" w:hAnsi="黑体" w:eastAsia="黑体" w:cs="黑体"/>
          <w:color w:val="000000" w:themeColor="text1"/>
          <w:sz w:val="44"/>
          <w:szCs w:val="44"/>
        </w:rPr>
      </w:pPr>
    </w:p>
    <w:p>
      <w:pPr>
        <w:widowControl/>
        <w:spacing w:after="160" w:line="580" w:lineRule="exact"/>
        <w:rPr>
          <w:rFonts w:ascii="黑体" w:hAnsi="黑体" w:eastAsia="黑体" w:cs="黑体"/>
          <w:color w:val="000000" w:themeColor="text1"/>
          <w:sz w:val="44"/>
          <w:szCs w:val="44"/>
        </w:rPr>
      </w:pPr>
    </w:p>
    <w:p>
      <w:pPr>
        <w:widowControl/>
        <w:numPr>
          <w:ilvl w:val="0"/>
          <w:numId w:val="1"/>
        </w:numPr>
        <w:spacing w:afterLines="100" w:line="580" w:lineRule="exact"/>
        <w:ind w:left="1757"/>
        <w:jc w:val="center"/>
        <w:rPr>
          <w:rFonts w:ascii="黑体" w:hAnsi="黑体" w:eastAsia="黑体" w:cs="黑体"/>
          <w:color w:val="000000" w:themeColor="text1"/>
          <w:sz w:val="44"/>
          <w:szCs w:val="44"/>
        </w:rPr>
      </w:pPr>
      <w:r>
        <w:rPr>
          <w:rFonts w:hint="eastAsia" w:ascii="黑体" w:hAnsi="黑体" w:eastAsia="黑体" w:cs="黑体"/>
          <w:color w:val="000000" w:themeColor="text1"/>
          <w:sz w:val="44"/>
          <w:szCs w:val="44"/>
        </w:rPr>
        <w:t>2023年度部门决算表</w:t>
      </w:r>
    </w:p>
    <w:tbl>
      <w:tblPr>
        <w:tblStyle w:val="6"/>
        <w:tblW w:w="10260" w:type="dxa"/>
        <w:jc w:val="center"/>
        <w:tblLayout w:type="fixed"/>
        <w:tblCellMar>
          <w:top w:w="15" w:type="dxa"/>
          <w:left w:w="15" w:type="dxa"/>
          <w:bottom w:w="15" w:type="dxa"/>
          <w:right w:w="15" w:type="dxa"/>
        </w:tblCellMar>
      </w:tblPr>
      <w:tblGrid>
        <w:gridCol w:w="3490"/>
        <w:gridCol w:w="536"/>
        <w:gridCol w:w="26"/>
        <w:gridCol w:w="1324"/>
        <w:gridCol w:w="814"/>
        <w:gridCol w:w="2469"/>
        <w:gridCol w:w="502"/>
        <w:gridCol w:w="1099"/>
      </w:tblGrid>
      <w:tr>
        <w:tblPrEx>
          <w:tblCellMar>
            <w:top w:w="15" w:type="dxa"/>
            <w:left w:w="15" w:type="dxa"/>
            <w:bottom w:w="15" w:type="dxa"/>
            <w:right w:w="15" w:type="dxa"/>
          </w:tblCellMar>
        </w:tblPrEx>
        <w:trPr>
          <w:trHeight w:val="917" w:hRule="exact"/>
          <w:jc w:val="center"/>
        </w:trPr>
        <w:tc>
          <w:tcPr>
            <w:tcW w:w="10260" w:type="dxa"/>
            <w:gridSpan w:val="8"/>
            <w:tcBorders>
              <w:top w:val="nil"/>
              <w:left w:val="nil"/>
              <w:bottom w:val="nil"/>
              <w:right w:val="nil"/>
            </w:tcBorders>
            <w:shd w:val="clear" w:color="auto" w:fill="FFFFFF"/>
            <w:vAlign w:val="bottom"/>
          </w:tcPr>
          <w:p>
            <w:pPr>
              <w:widowControl/>
              <w:spacing w:line="500" w:lineRule="exact"/>
              <w:jc w:val="center"/>
              <w:textAlignment w:val="center"/>
              <w:rPr>
                <w:rFonts w:ascii="Times New Roman" w:hAnsi="Times New Roman" w:eastAsia="仿宋_GB2312"/>
                <w:b/>
                <w:bCs/>
                <w:sz w:val="36"/>
                <w:szCs w:val="36"/>
              </w:rPr>
            </w:pPr>
          </w:p>
          <w:p>
            <w:pPr>
              <w:widowControl/>
              <w:spacing w:line="500" w:lineRule="exact"/>
              <w:ind w:firstLine="2891" w:firstLineChars="800"/>
              <w:textAlignment w:val="center"/>
              <w:rPr>
                <w:rFonts w:ascii="Times New Roman" w:hAnsi="Times New Roman" w:eastAsia="仿宋_GB2312"/>
                <w:b/>
                <w:bCs/>
                <w:sz w:val="36"/>
                <w:szCs w:val="36"/>
              </w:rPr>
            </w:pPr>
            <w:r>
              <w:rPr>
                <w:rFonts w:hint="eastAsia" w:ascii="Times New Roman" w:hAnsi="Times New Roman" w:eastAsia="仿宋_GB2312"/>
                <w:b/>
                <w:bCs/>
                <w:sz w:val="36"/>
                <w:szCs w:val="36"/>
              </w:rPr>
              <w:t>收入支出决算总表</w:t>
            </w:r>
          </w:p>
          <w:p>
            <w:pPr>
              <w:widowControl/>
              <w:jc w:val="center"/>
              <w:textAlignment w:val="center"/>
              <w:rPr>
                <w:rFonts w:ascii="Times New Roman" w:hAnsi="Times New Roman" w:eastAsia="仿宋_GB2312"/>
                <w:b/>
                <w:bCs/>
                <w:sz w:val="32"/>
                <w:szCs w:val="32"/>
              </w:rPr>
            </w:pPr>
          </w:p>
        </w:tc>
      </w:tr>
      <w:tr>
        <w:tblPrEx>
          <w:tblCellMar>
            <w:top w:w="15" w:type="dxa"/>
            <w:left w:w="15" w:type="dxa"/>
            <w:bottom w:w="15" w:type="dxa"/>
            <w:right w:w="15" w:type="dxa"/>
          </w:tblCellMar>
        </w:tblPrEx>
        <w:trPr>
          <w:trHeight w:val="358" w:hRule="exact"/>
          <w:jc w:val="center"/>
        </w:trPr>
        <w:tc>
          <w:tcPr>
            <w:tcW w:w="10260" w:type="dxa"/>
            <w:gridSpan w:val="8"/>
            <w:tcBorders>
              <w:top w:val="nil"/>
              <w:left w:val="nil"/>
              <w:bottom w:val="nil"/>
              <w:right w:val="nil"/>
            </w:tcBorders>
            <w:shd w:val="clear" w:color="auto" w:fill="FFFFFF"/>
            <w:vAlign w:val="center"/>
          </w:tcPr>
          <w:p>
            <w:pPr>
              <w:widowControl/>
              <w:jc w:val="right"/>
              <w:textAlignment w:val="center"/>
              <w:rPr>
                <w:rFonts w:ascii="宋体" w:hAnsi="宋体" w:eastAsia="宋体" w:cs="宋体"/>
                <w:color w:val="000000"/>
                <w:kern w:val="0"/>
                <w:sz w:val="22"/>
              </w:rPr>
            </w:pPr>
            <w:r>
              <w:rPr>
                <w:rFonts w:hint="eastAsia" w:ascii="宋体" w:hAnsi="宋体" w:eastAsia="宋体" w:cs="宋体"/>
                <w:color w:val="000000"/>
                <w:kern w:val="0"/>
                <w:sz w:val="20"/>
                <w:szCs w:val="20"/>
              </w:rPr>
              <w:t>公开01表</w:t>
            </w:r>
          </w:p>
        </w:tc>
      </w:tr>
      <w:tr>
        <w:tblPrEx>
          <w:tblCellMar>
            <w:top w:w="15" w:type="dxa"/>
            <w:left w:w="15" w:type="dxa"/>
            <w:bottom w:w="15" w:type="dxa"/>
            <w:right w:w="15" w:type="dxa"/>
          </w:tblCellMar>
        </w:tblPrEx>
        <w:trPr>
          <w:trHeight w:val="350" w:hRule="exact"/>
          <w:jc w:val="center"/>
        </w:trPr>
        <w:tc>
          <w:tcPr>
            <w:tcW w:w="4052" w:type="dxa"/>
            <w:gridSpan w:val="3"/>
            <w:tcBorders>
              <w:top w:val="nil"/>
              <w:left w:val="nil"/>
              <w:bottom w:val="single" w:color="auto" w:sz="4" w:space="0"/>
              <w:right w:val="nil"/>
            </w:tcBorders>
            <w:shd w:val="clear" w:color="auto" w:fill="FFFFFF"/>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部门：沙河市东石岭水库库渠事务中心(本级)                  </w:t>
            </w:r>
          </w:p>
        </w:tc>
        <w:tc>
          <w:tcPr>
            <w:tcW w:w="2138" w:type="dxa"/>
            <w:gridSpan w:val="2"/>
            <w:tcBorders>
              <w:top w:val="nil"/>
              <w:left w:val="nil"/>
              <w:bottom w:val="single" w:color="auto" w:sz="4" w:space="0"/>
              <w:right w:val="nil"/>
            </w:tcBorders>
            <w:shd w:val="clear" w:color="auto" w:fill="FFFFFF"/>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2023年度</w:t>
            </w:r>
          </w:p>
        </w:tc>
        <w:tc>
          <w:tcPr>
            <w:tcW w:w="4070" w:type="dxa"/>
            <w:gridSpan w:val="3"/>
            <w:tcBorders>
              <w:top w:val="nil"/>
              <w:left w:val="nil"/>
              <w:bottom w:val="single" w:color="auto" w:sz="4" w:space="0"/>
              <w:right w:val="nil"/>
            </w:tcBorders>
            <w:shd w:val="clear" w:color="auto" w:fill="FFFFFF"/>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15" w:type="dxa"/>
            <w:left w:w="15" w:type="dxa"/>
            <w:bottom w:w="15" w:type="dxa"/>
            <w:right w:w="15" w:type="dxa"/>
          </w:tblCellMar>
        </w:tblPrEx>
        <w:trPr>
          <w:trHeight w:val="544" w:hRule="exact"/>
          <w:jc w:val="center"/>
        </w:trPr>
        <w:tc>
          <w:tcPr>
            <w:tcW w:w="5376"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收入</w:t>
            </w:r>
          </w:p>
        </w:tc>
        <w:tc>
          <w:tcPr>
            <w:tcW w:w="4884"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支出</w:t>
            </w:r>
          </w:p>
        </w:tc>
      </w:tr>
      <w:tr>
        <w:tblPrEx>
          <w:tblCellMar>
            <w:top w:w="15" w:type="dxa"/>
            <w:left w:w="15" w:type="dxa"/>
            <w:bottom w:w="15" w:type="dxa"/>
            <w:right w:w="15" w:type="dxa"/>
          </w:tblCellMar>
        </w:tblPrEx>
        <w:trPr>
          <w:trHeight w:val="600" w:hRule="exact"/>
          <w:jc w:val="center"/>
        </w:trPr>
        <w:tc>
          <w:tcPr>
            <w:tcW w:w="34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项    目</w:t>
            </w:r>
          </w:p>
        </w:tc>
        <w:tc>
          <w:tcPr>
            <w:tcW w:w="5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行次</w:t>
            </w: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决算数</w:t>
            </w:r>
          </w:p>
        </w:tc>
        <w:tc>
          <w:tcPr>
            <w:tcW w:w="328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项    目</w:t>
            </w:r>
          </w:p>
        </w:tc>
        <w:tc>
          <w:tcPr>
            <w:tcW w:w="5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行次</w:t>
            </w:r>
          </w:p>
        </w:tc>
        <w:tc>
          <w:tcPr>
            <w:tcW w:w="1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决算数</w:t>
            </w:r>
          </w:p>
        </w:tc>
      </w:tr>
      <w:tr>
        <w:tblPrEx>
          <w:tblCellMar>
            <w:top w:w="15" w:type="dxa"/>
            <w:left w:w="15" w:type="dxa"/>
            <w:bottom w:w="15" w:type="dxa"/>
            <w:right w:w="15" w:type="dxa"/>
          </w:tblCellMar>
        </w:tblPrEx>
        <w:trPr>
          <w:trHeight w:val="474" w:hRule="exact"/>
          <w:jc w:val="center"/>
        </w:trPr>
        <w:tc>
          <w:tcPr>
            <w:tcW w:w="34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    次</w:t>
            </w:r>
          </w:p>
        </w:tc>
        <w:tc>
          <w:tcPr>
            <w:tcW w:w="53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color w:val="000000"/>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328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    次</w:t>
            </w:r>
          </w:p>
        </w:tc>
        <w:tc>
          <w:tcPr>
            <w:tcW w:w="50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color w:val="000000"/>
                <w:sz w:val="24"/>
              </w:rPr>
            </w:pPr>
          </w:p>
        </w:tc>
        <w:tc>
          <w:tcPr>
            <w:tcW w:w="1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r>
      <w:tr>
        <w:tblPrEx>
          <w:tblCellMar>
            <w:top w:w="15" w:type="dxa"/>
            <w:left w:w="15" w:type="dxa"/>
            <w:bottom w:w="15" w:type="dxa"/>
            <w:right w:w="15" w:type="dxa"/>
          </w:tblCellMar>
        </w:tblPrEx>
        <w:trPr>
          <w:trHeight w:val="474" w:hRule="exact"/>
          <w:jc w:val="center"/>
        </w:trPr>
        <w:tc>
          <w:tcPr>
            <w:tcW w:w="349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rPr>
              <w:t>一、一般公共预算财政拨款收入</w:t>
            </w:r>
          </w:p>
        </w:tc>
        <w:tc>
          <w:tcPr>
            <w:tcW w:w="536"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1</w:t>
            </w:r>
          </w:p>
        </w:tc>
        <w:tc>
          <w:tcPr>
            <w:tcW w:w="135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r>
              <w:rPr>
                <w:rFonts w:hint="eastAsia"/>
              </w:rPr>
              <w:t>303.69</w:t>
            </w:r>
          </w:p>
        </w:tc>
        <w:tc>
          <w:tcPr>
            <w:tcW w:w="3283" w:type="dxa"/>
            <w:gridSpan w:val="2"/>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一、一般公共服务支出</w:t>
            </w:r>
          </w:p>
        </w:tc>
        <w:tc>
          <w:tcPr>
            <w:tcW w:w="502"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32</w:t>
            </w:r>
          </w:p>
        </w:tc>
        <w:tc>
          <w:tcPr>
            <w:tcW w:w="109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二、政府性基金预算财政拨款收入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二、外交支出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33</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rPr>
              <w:t>三、国有资本经营预算财政拨款收入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三、国防支出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四、上级补助收入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四、公共安全支出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35</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五、事业收入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五、教育支出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36</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六、经营收入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六、科学技术支出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七、附属单位上缴收入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7</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rPr>
              <w:t>七、文化旅游体育与传媒支出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38</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八、其他收入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8</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r>
              <w:rPr>
                <w:rFonts w:hint="eastAsia"/>
              </w:rPr>
              <w:t>八、社会保障和就业支出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39</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7.39</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9</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九、卫生健康支出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40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r>
              <w:rPr>
                <w:rFonts w:hint="eastAsia" w:ascii="宋体" w:hAnsi="宋体" w:eastAsia="宋体" w:cs="宋体"/>
                <w:b/>
                <w:color w:val="000000"/>
                <w:sz w:val="22"/>
              </w:rPr>
              <w:t>3.14</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十、节能环保支出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11</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十一、城乡社区支出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42</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十二、农林水支出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43</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r>
              <w:rPr>
                <w:rFonts w:hint="eastAsia" w:ascii="宋体" w:hAnsi="宋体" w:eastAsia="宋体" w:cs="宋体"/>
                <w:b/>
                <w:color w:val="000000"/>
                <w:sz w:val="22"/>
              </w:rPr>
              <w:t>286.97</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十三、交通运输支出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十四、资源勘探工业信息等支出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45</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十五、商业服务业等支出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46</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十六、金融支出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563"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17</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十七、援助其他地区支出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48</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bl>
    <w:p>
      <w:pPr>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br w:type="page"/>
      </w:r>
    </w:p>
    <w:tbl>
      <w:tblPr>
        <w:tblStyle w:val="6"/>
        <w:tblW w:w="10260" w:type="dxa"/>
        <w:jc w:val="center"/>
        <w:tblLayout w:type="fixed"/>
        <w:tblCellMar>
          <w:top w:w="15" w:type="dxa"/>
          <w:left w:w="15" w:type="dxa"/>
          <w:bottom w:w="15" w:type="dxa"/>
          <w:right w:w="15" w:type="dxa"/>
        </w:tblCellMar>
      </w:tblPr>
      <w:tblGrid>
        <w:gridCol w:w="3490"/>
        <w:gridCol w:w="536"/>
        <w:gridCol w:w="1350"/>
        <w:gridCol w:w="3283"/>
        <w:gridCol w:w="502"/>
        <w:gridCol w:w="1099"/>
      </w:tblGrid>
      <w:tr>
        <w:tblPrEx>
          <w:tblCellMar>
            <w:top w:w="15" w:type="dxa"/>
            <w:left w:w="15" w:type="dxa"/>
            <w:bottom w:w="15" w:type="dxa"/>
            <w:right w:w="15" w:type="dxa"/>
          </w:tblCellMar>
        </w:tblPrEx>
        <w:trPr>
          <w:trHeight w:val="474" w:hRule="exact"/>
          <w:jc w:val="center"/>
        </w:trPr>
        <w:tc>
          <w:tcPr>
            <w:tcW w:w="5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r>
              <w:rPr>
                <w:rFonts w:hint="eastAsia" w:ascii="宋体" w:hAnsi="宋体" w:eastAsia="宋体" w:cs="宋体"/>
                <w:b/>
                <w:bCs/>
                <w:color w:val="000000"/>
                <w:kern w:val="0"/>
                <w:sz w:val="24"/>
                <w:szCs w:val="24"/>
              </w:rPr>
              <w:t>收入</w:t>
            </w:r>
          </w:p>
        </w:tc>
        <w:tc>
          <w:tcPr>
            <w:tcW w:w="4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r>
              <w:rPr>
                <w:rFonts w:hint="eastAsia" w:ascii="宋体" w:hAnsi="宋体" w:eastAsia="宋体" w:cs="宋体"/>
                <w:b/>
                <w:bCs/>
                <w:color w:val="000000"/>
                <w:kern w:val="0"/>
                <w:sz w:val="24"/>
                <w:szCs w:val="24"/>
              </w:rPr>
              <w:t>支出</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项    目</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行次</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决算数</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项    目</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行次</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决算数</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    次</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    次</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十八、自然资源海洋气象等支出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49</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十九、住房保障支出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r>
              <w:rPr>
                <w:rFonts w:hint="eastAsia" w:ascii="宋体" w:hAnsi="宋体" w:eastAsia="宋体" w:cs="宋体"/>
                <w:b/>
                <w:color w:val="000000"/>
                <w:sz w:val="22"/>
              </w:rPr>
              <w:t>6.19</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二十、粮油物资储备支出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二十一、国有资本经营预算支出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52</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二十二、灾害防治及应急管理支出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53</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二十三、其他支出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二十四、债务还本支出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55</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二十五、债务付息支出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56</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二十六、抗疫特别国债安排的支出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b/>
                <w:bCs/>
              </w:rPr>
              <w:t>本年收入合计</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sz w:val="22"/>
              </w:rPr>
            </w:pPr>
            <w:r>
              <w:rPr>
                <w:rFonts w:hint="eastAsia" w:asciiTheme="minorEastAsia" w:hAnsiTheme="minorEastAsia"/>
                <w:sz w:val="22"/>
              </w:rPr>
              <w:t>303.69</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b/>
                <w:bCs/>
              </w:rPr>
              <w:t>本年支出合计</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58</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ascii="宋体" w:hAnsi="宋体" w:eastAsia="宋体" w:cs="宋体"/>
                <w:color w:val="000000"/>
                <w:sz w:val="22"/>
              </w:rPr>
              <w:t>303.69</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使用非财政拨款结余（含专用结余）</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结余分配</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59</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年初结转和结余</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年末结转和结余</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60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30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61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515"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b/>
                <w:bCs/>
              </w:rPr>
              <w:t>总计</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b/>
                <w:bCs/>
              </w:rPr>
              <w:t>总计</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62</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bl>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注：1.本表反映部门本年度的总收支和年末结转结余情况。</w:t>
      </w:r>
    </w:p>
    <w:p>
      <w:pPr>
        <w:sectPr>
          <w:headerReference r:id="rId7" w:type="default"/>
          <w:pgSz w:w="11906" w:h="16838"/>
          <w:pgMar w:top="1474" w:right="1474" w:bottom="1474" w:left="1474" w:header="851" w:footer="992" w:gutter="0"/>
          <w:cols w:space="0" w:num="1"/>
          <w:docGrid w:type="lines" w:linePitch="312" w:charSpace="0"/>
        </w:sectPr>
      </w:pPr>
      <w:r>
        <w:rPr>
          <w:rFonts w:hint="eastAsia" w:ascii="宋体" w:hAnsi="宋体" w:eastAsia="宋体" w:cs="宋体"/>
          <w:color w:val="000000"/>
          <w:kern w:val="0"/>
          <w:sz w:val="24"/>
          <w:szCs w:val="24"/>
        </w:rPr>
        <w:t xml:space="preserve">    2.本套报表金额单位转换时可能存在尾数误差</w:t>
      </w:r>
    </w:p>
    <w:tbl>
      <w:tblPr>
        <w:tblStyle w:val="6"/>
        <w:tblW w:w="10040" w:type="dxa"/>
        <w:jc w:val="center"/>
        <w:tblLayout w:type="fixed"/>
        <w:tblCellMar>
          <w:top w:w="15" w:type="dxa"/>
          <w:left w:w="15" w:type="dxa"/>
          <w:bottom w:w="15" w:type="dxa"/>
          <w:right w:w="15" w:type="dxa"/>
        </w:tblCellMar>
      </w:tblPr>
      <w:tblGrid>
        <w:gridCol w:w="793"/>
        <w:gridCol w:w="693"/>
        <w:gridCol w:w="2032"/>
        <w:gridCol w:w="851"/>
        <w:gridCol w:w="760"/>
        <w:gridCol w:w="982"/>
        <w:gridCol w:w="982"/>
        <w:gridCol w:w="982"/>
        <w:gridCol w:w="982"/>
        <w:gridCol w:w="983"/>
      </w:tblGrid>
      <w:tr>
        <w:tblPrEx>
          <w:tblCellMar>
            <w:top w:w="15" w:type="dxa"/>
            <w:left w:w="15" w:type="dxa"/>
            <w:bottom w:w="15" w:type="dxa"/>
            <w:right w:w="15" w:type="dxa"/>
          </w:tblCellMar>
        </w:tblPrEx>
        <w:trPr>
          <w:trHeight w:val="666" w:hRule="atLeast"/>
          <w:jc w:val="center"/>
        </w:trPr>
        <w:tc>
          <w:tcPr>
            <w:tcW w:w="10040" w:type="dxa"/>
            <w:gridSpan w:val="10"/>
            <w:shd w:val="clear" w:color="auto" w:fill="auto"/>
            <w:vAlign w:val="center"/>
          </w:tcPr>
          <w:p>
            <w:pPr>
              <w:widowControl/>
              <w:ind w:firstLine="3213" w:firstLineChars="1000"/>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rPr>
              <w:t>收入决算表</w:t>
            </w:r>
          </w:p>
        </w:tc>
      </w:tr>
      <w:tr>
        <w:tblPrEx>
          <w:tblCellMar>
            <w:top w:w="15" w:type="dxa"/>
            <w:left w:w="15" w:type="dxa"/>
            <w:bottom w:w="15" w:type="dxa"/>
            <w:right w:w="15" w:type="dxa"/>
          </w:tblCellMar>
        </w:tblPrEx>
        <w:trPr>
          <w:trHeight w:val="348" w:hRule="atLeast"/>
          <w:jc w:val="center"/>
        </w:trPr>
        <w:tc>
          <w:tcPr>
            <w:tcW w:w="793" w:type="dxa"/>
            <w:shd w:val="clear" w:color="auto" w:fill="FFFFFF"/>
            <w:vAlign w:val="center"/>
          </w:tcPr>
          <w:p>
            <w:pPr>
              <w:jc w:val="right"/>
              <w:rPr>
                <w:rFonts w:ascii="宋体" w:hAnsi="宋体" w:eastAsia="宋体" w:cs="宋体"/>
                <w:color w:val="000000"/>
                <w:sz w:val="24"/>
              </w:rPr>
            </w:pPr>
          </w:p>
        </w:tc>
        <w:tc>
          <w:tcPr>
            <w:tcW w:w="693" w:type="dxa"/>
            <w:shd w:val="clear" w:color="auto" w:fill="FFFFFF"/>
            <w:vAlign w:val="center"/>
          </w:tcPr>
          <w:p>
            <w:pPr>
              <w:jc w:val="right"/>
              <w:rPr>
                <w:rFonts w:ascii="宋体" w:hAnsi="宋体" w:eastAsia="宋体" w:cs="宋体"/>
                <w:color w:val="000000"/>
                <w:sz w:val="24"/>
              </w:rPr>
            </w:pPr>
          </w:p>
        </w:tc>
        <w:tc>
          <w:tcPr>
            <w:tcW w:w="2032" w:type="dxa"/>
            <w:shd w:val="clear" w:color="auto" w:fill="FFFFFF"/>
            <w:vAlign w:val="center"/>
          </w:tcPr>
          <w:p>
            <w:pPr>
              <w:jc w:val="right"/>
              <w:rPr>
                <w:rFonts w:ascii="宋体" w:hAnsi="宋体" w:eastAsia="宋体" w:cs="宋体"/>
                <w:color w:val="000000"/>
                <w:sz w:val="24"/>
              </w:rPr>
            </w:pPr>
          </w:p>
        </w:tc>
        <w:tc>
          <w:tcPr>
            <w:tcW w:w="851" w:type="dxa"/>
            <w:shd w:val="clear" w:color="auto" w:fill="FFFFFF"/>
            <w:vAlign w:val="center"/>
          </w:tcPr>
          <w:p>
            <w:pPr>
              <w:jc w:val="right"/>
              <w:rPr>
                <w:rFonts w:ascii="宋体" w:hAnsi="宋体" w:eastAsia="宋体" w:cs="宋体"/>
                <w:color w:val="000000"/>
                <w:sz w:val="24"/>
              </w:rPr>
            </w:pPr>
          </w:p>
        </w:tc>
        <w:tc>
          <w:tcPr>
            <w:tcW w:w="760"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3"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rPr>
          <w:trHeight w:val="348" w:hRule="atLeast"/>
          <w:jc w:val="center"/>
        </w:trPr>
        <w:tc>
          <w:tcPr>
            <w:tcW w:w="3518" w:type="dxa"/>
            <w:gridSpan w:val="3"/>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kern w:val="0"/>
                <w:sz w:val="20"/>
                <w:szCs w:val="20"/>
              </w:rPr>
              <w:t>部门：沙河市东石岭水库库渠事务中心(本级)</w:t>
            </w:r>
          </w:p>
        </w:tc>
        <w:tc>
          <w:tcPr>
            <w:tcW w:w="851" w:type="dxa"/>
            <w:shd w:val="clear" w:color="auto" w:fill="FFFFFF"/>
            <w:vAlign w:val="center"/>
          </w:tcPr>
          <w:p>
            <w:pPr>
              <w:jc w:val="right"/>
              <w:rPr>
                <w:rFonts w:ascii="宋体" w:hAnsi="宋体" w:eastAsia="宋体" w:cs="宋体"/>
                <w:color w:val="000000"/>
                <w:sz w:val="24"/>
              </w:rPr>
            </w:pPr>
          </w:p>
        </w:tc>
        <w:tc>
          <w:tcPr>
            <w:tcW w:w="1742" w:type="dxa"/>
            <w:gridSpan w:val="2"/>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4"/>
                <w:szCs w:val="24"/>
              </w:rPr>
              <w:t>2023年度</w:t>
            </w: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3"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15" w:type="dxa"/>
            <w:left w:w="15" w:type="dxa"/>
            <w:bottom w:w="15" w:type="dxa"/>
            <w:right w:w="15" w:type="dxa"/>
          </w:tblCellMar>
        </w:tblPrEx>
        <w:trPr>
          <w:trHeight w:val="499" w:hRule="atLeast"/>
          <w:jc w:val="center"/>
        </w:trPr>
        <w:tc>
          <w:tcPr>
            <w:tcW w:w="35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项    目</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本年收入合计</w:t>
            </w: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财政拨款收入</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上级补助收入</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事业收入</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经营收入</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附属单位上缴收入</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其他收入</w:t>
            </w:r>
          </w:p>
        </w:tc>
      </w:tr>
      <w:tr>
        <w:tblPrEx>
          <w:tblCellMar>
            <w:top w:w="15" w:type="dxa"/>
            <w:left w:w="15" w:type="dxa"/>
            <w:bottom w:w="15" w:type="dxa"/>
            <w:right w:w="15" w:type="dxa"/>
          </w:tblCellMar>
        </w:tblPrEx>
        <w:trPr>
          <w:trHeight w:val="499" w:hRule="atLeast"/>
          <w:jc w:val="center"/>
        </w:trPr>
        <w:tc>
          <w:tcPr>
            <w:tcW w:w="148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科目代码</w:t>
            </w:r>
          </w:p>
        </w:tc>
        <w:tc>
          <w:tcPr>
            <w:tcW w:w="20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科目名称</w:t>
            </w: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r>
      <w:tr>
        <w:trPr>
          <w:trHeight w:val="499" w:hRule="atLeast"/>
          <w:jc w:val="center"/>
        </w:trPr>
        <w:tc>
          <w:tcPr>
            <w:tcW w:w="148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20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35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4</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5</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6</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7</w:t>
            </w:r>
          </w:p>
        </w:tc>
      </w:tr>
      <w:tr>
        <w:trPr>
          <w:trHeight w:val="499" w:hRule="atLeast"/>
          <w:jc w:val="center"/>
        </w:trPr>
        <w:tc>
          <w:tcPr>
            <w:tcW w:w="35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Arial"/>
                <w:sz w:val="22"/>
              </w:rPr>
            </w:pPr>
            <w:r>
              <w:rPr>
                <w:rFonts w:hint="eastAsia" w:cs="Arial"/>
                <w:sz w:val="22"/>
              </w:rPr>
              <w:t>208</w:t>
            </w:r>
          </w:p>
          <w:p>
            <w:pPr>
              <w:jc w:val="left"/>
              <w:rPr>
                <w:rFonts w:ascii="宋体" w:hAnsi="宋体" w:eastAsia="宋体" w:cs="宋体"/>
                <w:color w:val="000000"/>
                <w:sz w:val="24"/>
              </w:rPr>
            </w:pPr>
          </w:p>
        </w:tc>
        <w:tc>
          <w:tcPr>
            <w:tcW w:w="2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社会保障和就业支出</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7.39</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rPr>
          <w:trHeight w:val="677"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Arial"/>
                <w:sz w:val="22"/>
              </w:rPr>
            </w:pPr>
            <w:r>
              <w:rPr>
                <w:rFonts w:hint="eastAsia" w:cs="Arial"/>
                <w:sz w:val="22"/>
              </w:rPr>
              <w:t>20805</w:t>
            </w:r>
          </w:p>
          <w:p>
            <w:pPr>
              <w:jc w:val="left"/>
              <w:rPr>
                <w:rFonts w:ascii="宋体" w:hAnsi="宋体" w:eastAsia="宋体" w:cs="宋体"/>
                <w:color w:val="000000"/>
                <w:sz w:val="24"/>
              </w:rPr>
            </w:pPr>
          </w:p>
        </w:tc>
        <w:tc>
          <w:tcPr>
            <w:tcW w:w="2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行政事业单位养老支出</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华文中宋" w:hAnsi="华文中宋" w:eastAsia="华文中宋" w:cs="华文中宋"/>
                <w:color w:val="000000"/>
                <w:sz w:val="24"/>
              </w:rPr>
            </w:pPr>
            <w:r>
              <w:rPr>
                <w:rFonts w:hint="eastAsia" w:ascii="华文中宋" w:hAnsi="华文中宋" w:eastAsia="华文中宋" w:cs="华文中宋"/>
                <w:color w:val="000000"/>
                <w:sz w:val="24"/>
              </w:rPr>
              <w:t>7.39</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Arial"/>
                <w:sz w:val="22"/>
              </w:rPr>
            </w:pPr>
            <w:r>
              <w:rPr>
                <w:rFonts w:hint="eastAsia" w:cs="Arial"/>
                <w:sz w:val="22"/>
              </w:rPr>
              <w:t>2080505</w:t>
            </w:r>
          </w:p>
          <w:p>
            <w:pPr>
              <w:jc w:val="left"/>
              <w:rPr>
                <w:rFonts w:ascii="宋体" w:hAnsi="宋体" w:eastAsia="宋体" w:cs="宋体"/>
                <w:color w:val="000000"/>
                <w:sz w:val="24"/>
              </w:rPr>
            </w:pPr>
          </w:p>
        </w:tc>
        <w:tc>
          <w:tcPr>
            <w:tcW w:w="2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Arial"/>
                <w:sz w:val="22"/>
              </w:rPr>
            </w:pPr>
            <w:r>
              <w:rPr>
                <w:rFonts w:hint="eastAsia" w:cs="Arial"/>
                <w:sz w:val="22"/>
              </w:rPr>
              <w:t xml:space="preserve">  机关事业单位基本养老保险缴费支出</w:t>
            </w:r>
          </w:p>
          <w:p>
            <w:pPr>
              <w:jc w:val="left"/>
              <w:rPr>
                <w:rFonts w:ascii="宋体" w:hAnsi="宋体" w:eastAsia="宋体" w:cs="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7.39</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Arial"/>
                <w:sz w:val="22"/>
              </w:rPr>
            </w:pPr>
            <w:r>
              <w:rPr>
                <w:rFonts w:hint="eastAsia" w:cs="Arial"/>
                <w:sz w:val="22"/>
              </w:rPr>
              <w:t>210</w:t>
            </w:r>
          </w:p>
          <w:p>
            <w:pPr>
              <w:jc w:val="left"/>
              <w:rPr>
                <w:rFonts w:ascii="宋体" w:hAnsi="宋体" w:eastAsia="宋体" w:cs="宋体"/>
                <w:color w:val="000000"/>
                <w:sz w:val="24"/>
              </w:rPr>
            </w:pPr>
          </w:p>
        </w:tc>
        <w:tc>
          <w:tcPr>
            <w:tcW w:w="2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Arial"/>
                <w:sz w:val="22"/>
              </w:rPr>
            </w:pPr>
            <w:r>
              <w:rPr>
                <w:rFonts w:hint="eastAsia" w:cs="Arial"/>
                <w:sz w:val="22"/>
              </w:rPr>
              <w:t>卫生健康支出</w:t>
            </w:r>
          </w:p>
          <w:p>
            <w:pPr>
              <w:jc w:val="left"/>
              <w:rPr>
                <w:rFonts w:ascii="宋体" w:hAnsi="宋体" w:eastAsia="宋体" w:cs="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3.14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Arial"/>
                <w:sz w:val="22"/>
              </w:rPr>
            </w:pPr>
            <w:r>
              <w:rPr>
                <w:rFonts w:hint="eastAsia" w:cs="Arial"/>
                <w:sz w:val="22"/>
              </w:rPr>
              <w:t>21011</w:t>
            </w:r>
          </w:p>
          <w:p>
            <w:pPr>
              <w:jc w:val="left"/>
              <w:rPr>
                <w:rFonts w:ascii="宋体" w:hAnsi="宋体" w:eastAsia="宋体" w:cs="宋体"/>
                <w:color w:val="000000"/>
                <w:sz w:val="24"/>
              </w:rPr>
            </w:pPr>
          </w:p>
        </w:tc>
        <w:tc>
          <w:tcPr>
            <w:tcW w:w="2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Arial"/>
                <w:sz w:val="22"/>
              </w:rPr>
            </w:pPr>
            <w:r>
              <w:rPr>
                <w:rFonts w:hint="eastAsia" w:cs="Arial"/>
                <w:sz w:val="22"/>
              </w:rPr>
              <w:t>行政事业单位医疗</w:t>
            </w:r>
          </w:p>
          <w:p>
            <w:pPr>
              <w:jc w:val="left"/>
              <w:rPr>
                <w:rFonts w:ascii="宋体" w:hAnsi="宋体" w:eastAsia="宋体" w:cs="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3.14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Arial"/>
                <w:sz w:val="22"/>
              </w:rPr>
            </w:pPr>
            <w:r>
              <w:rPr>
                <w:rFonts w:hint="eastAsia" w:cs="Arial"/>
                <w:sz w:val="22"/>
              </w:rPr>
              <w:t>2101199</w:t>
            </w:r>
          </w:p>
          <w:p>
            <w:pPr>
              <w:jc w:val="left"/>
              <w:rPr>
                <w:rFonts w:ascii="宋体" w:hAnsi="宋体" w:eastAsia="宋体" w:cs="宋体"/>
                <w:color w:val="000000"/>
                <w:sz w:val="24"/>
              </w:rPr>
            </w:pPr>
          </w:p>
        </w:tc>
        <w:tc>
          <w:tcPr>
            <w:tcW w:w="2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Arial"/>
                <w:sz w:val="22"/>
              </w:rPr>
            </w:pPr>
            <w:r>
              <w:rPr>
                <w:rFonts w:hint="eastAsia" w:cs="Arial"/>
                <w:sz w:val="22"/>
              </w:rPr>
              <w:t xml:space="preserve">  其他行政事业单位医疗支出</w:t>
            </w:r>
          </w:p>
          <w:p>
            <w:pPr>
              <w:jc w:val="left"/>
              <w:rPr>
                <w:rFonts w:ascii="宋体" w:hAnsi="宋体" w:eastAsia="宋体" w:cs="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3.14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Arial"/>
                <w:sz w:val="22"/>
              </w:rPr>
            </w:pPr>
            <w:r>
              <w:rPr>
                <w:rFonts w:hint="eastAsia" w:cs="Arial"/>
                <w:sz w:val="22"/>
              </w:rPr>
              <w:t>213</w:t>
            </w:r>
          </w:p>
          <w:p>
            <w:pPr>
              <w:jc w:val="left"/>
              <w:rPr>
                <w:rFonts w:ascii="宋体" w:hAnsi="宋体" w:eastAsia="宋体" w:cs="宋体"/>
                <w:color w:val="000000"/>
                <w:sz w:val="24"/>
              </w:rPr>
            </w:pPr>
          </w:p>
        </w:tc>
        <w:tc>
          <w:tcPr>
            <w:tcW w:w="2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Arial"/>
                <w:sz w:val="22"/>
              </w:rPr>
            </w:pPr>
            <w:r>
              <w:rPr>
                <w:rFonts w:hint="eastAsia" w:cs="Arial"/>
                <w:sz w:val="22"/>
              </w:rPr>
              <w:t>农林水支出</w:t>
            </w:r>
          </w:p>
          <w:p>
            <w:pPr>
              <w:jc w:val="left"/>
              <w:rPr>
                <w:rFonts w:ascii="宋体" w:hAnsi="宋体" w:eastAsia="宋体" w:cs="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286.97</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Arial"/>
                <w:sz w:val="22"/>
              </w:rPr>
            </w:pPr>
            <w:r>
              <w:rPr>
                <w:rFonts w:hint="eastAsia" w:cs="Arial"/>
                <w:sz w:val="22"/>
              </w:rPr>
              <w:t>21303</w:t>
            </w:r>
          </w:p>
          <w:p>
            <w:pPr>
              <w:jc w:val="left"/>
              <w:rPr>
                <w:rFonts w:ascii="宋体" w:hAnsi="宋体" w:eastAsia="宋体" w:cs="宋体"/>
                <w:color w:val="000000"/>
                <w:sz w:val="24"/>
              </w:rPr>
            </w:pPr>
          </w:p>
        </w:tc>
        <w:tc>
          <w:tcPr>
            <w:tcW w:w="2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Arial"/>
                <w:sz w:val="22"/>
              </w:rPr>
            </w:pPr>
            <w:r>
              <w:rPr>
                <w:rFonts w:hint="eastAsia" w:cs="Arial"/>
                <w:sz w:val="22"/>
              </w:rPr>
              <w:t>水利</w:t>
            </w:r>
          </w:p>
          <w:p>
            <w:pPr>
              <w:jc w:val="left"/>
              <w:rPr>
                <w:rFonts w:ascii="宋体" w:hAnsi="宋体" w:eastAsia="宋体" w:cs="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286.97</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Arial"/>
                <w:sz w:val="22"/>
              </w:rPr>
            </w:pPr>
            <w:r>
              <w:rPr>
                <w:rFonts w:hint="eastAsia" w:cs="Arial"/>
                <w:sz w:val="22"/>
              </w:rPr>
              <w:t>2130304</w:t>
            </w:r>
          </w:p>
        </w:tc>
        <w:tc>
          <w:tcPr>
            <w:tcW w:w="2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Arial"/>
                <w:sz w:val="22"/>
              </w:rPr>
            </w:pPr>
            <w:r>
              <w:rPr>
                <w:rFonts w:hint="eastAsia" w:cs="Arial"/>
                <w:sz w:val="22"/>
              </w:rPr>
              <w:t>水利行业业务管理</w:t>
            </w:r>
          </w:p>
          <w:p>
            <w:pPr>
              <w:jc w:val="left"/>
              <w:rPr>
                <w:rFonts w:ascii="宋体" w:hAnsi="宋体" w:eastAsia="宋体" w:cs="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78.26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rPr>
          <w:trHeight w:val="342"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cs="Arial"/>
                <w:sz w:val="22"/>
              </w:rPr>
            </w:pPr>
            <w:r>
              <w:rPr>
                <w:rFonts w:cs="Arial"/>
                <w:sz w:val="22"/>
              </w:rPr>
              <w:t>2130305</w:t>
            </w:r>
          </w:p>
        </w:tc>
        <w:tc>
          <w:tcPr>
            <w:tcW w:w="2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cs="Arial"/>
                <w:sz w:val="22"/>
              </w:rPr>
            </w:pPr>
            <w:r>
              <w:rPr>
                <w:rFonts w:hint="eastAsia" w:cs="Arial"/>
                <w:sz w:val="22"/>
              </w:rPr>
              <w:t xml:space="preserve"> 水利工程建设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208.7</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Arial"/>
                <w:sz w:val="22"/>
              </w:rPr>
            </w:pPr>
            <w:r>
              <w:rPr>
                <w:rFonts w:hint="eastAsia" w:cs="Arial"/>
                <w:sz w:val="22"/>
              </w:rPr>
              <w:t>221</w:t>
            </w:r>
          </w:p>
        </w:tc>
        <w:tc>
          <w:tcPr>
            <w:tcW w:w="2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Arial"/>
                <w:sz w:val="22"/>
              </w:rPr>
            </w:pPr>
            <w:r>
              <w:rPr>
                <w:rFonts w:hint="eastAsia" w:cs="Arial"/>
                <w:sz w:val="22"/>
              </w:rPr>
              <w:t>住房保障支出</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6.19</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Arial"/>
                <w:sz w:val="22"/>
              </w:rPr>
            </w:pPr>
            <w:r>
              <w:rPr>
                <w:rFonts w:hint="eastAsia" w:cs="Arial"/>
                <w:sz w:val="22"/>
              </w:rPr>
              <w:t>22102</w:t>
            </w:r>
          </w:p>
        </w:tc>
        <w:tc>
          <w:tcPr>
            <w:tcW w:w="2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Arial"/>
                <w:sz w:val="22"/>
              </w:rPr>
            </w:pPr>
            <w:r>
              <w:rPr>
                <w:rFonts w:hint="eastAsia" w:cs="Arial"/>
                <w:sz w:val="22"/>
              </w:rPr>
              <w:t>住房改革支出</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6.19</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rPr>
          <w:trHeight w:val="505"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Arial"/>
                <w:sz w:val="22"/>
              </w:rPr>
            </w:pPr>
            <w:r>
              <w:rPr>
                <w:rFonts w:hint="eastAsia" w:cs="Arial"/>
                <w:sz w:val="22"/>
              </w:rPr>
              <w:t>2210201</w:t>
            </w:r>
          </w:p>
        </w:tc>
        <w:tc>
          <w:tcPr>
            <w:tcW w:w="2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 xml:space="preserve">  住房公积金</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r>
              <w:rPr>
                <w:rFonts w:hint="eastAsia" w:ascii="宋体" w:hAnsi="宋体" w:eastAsia="宋体" w:cs="宋体"/>
                <w:color w:val="000000"/>
                <w:sz w:val="24"/>
              </w:rPr>
              <w:t>6.19</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rPr>
          <w:trHeight w:val="657" w:hRule="atLeast"/>
          <w:jc w:val="center"/>
        </w:trPr>
        <w:tc>
          <w:tcPr>
            <w:tcW w:w="10040" w:type="dxa"/>
            <w:gridSpan w:val="10"/>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注：本表反映部门本年度取得的各项收入情况。</w:t>
            </w:r>
          </w:p>
        </w:tc>
      </w:tr>
    </w:tbl>
    <w:p>
      <w:pPr>
        <w:sectPr>
          <w:pgSz w:w="11906" w:h="16838"/>
          <w:pgMar w:top="1474" w:right="1474" w:bottom="1474" w:left="1474" w:header="851" w:footer="992" w:gutter="0"/>
          <w:cols w:space="0" w:num="1"/>
          <w:docGrid w:type="lines" w:linePitch="312" w:charSpace="0"/>
        </w:sectPr>
      </w:pPr>
    </w:p>
    <w:tbl>
      <w:tblPr>
        <w:tblStyle w:val="6"/>
        <w:tblW w:w="10286" w:type="dxa"/>
        <w:jc w:val="center"/>
        <w:tblLayout w:type="fixed"/>
        <w:tblCellMar>
          <w:top w:w="15" w:type="dxa"/>
          <w:left w:w="15" w:type="dxa"/>
          <w:bottom w:w="15" w:type="dxa"/>
          <w:right w:w="15" w:type="dxa"/>
        </w:tblCellMar>
      </w:tblPr>
      <w:tblGrid>
        <w:gridCol w:w="10286"/>
      </w:tblGrid>
      <w:tr>
        <w:tblPrEx>
          <w:tblCellMar>
            <w:top w:w="15" w:type="dxa"/>
            <w:left w:w="15" w:type="dxa"/>
            <w:bottom w:w="15" w:type="dxa"/>
            <w:right w:w="15" w:type="dxa"/>
          </w:tblCellMar>
        </w:tblPrEx>
        <w:trPr>
          <w:trHeight w:val="630" w:hRule="atLeast"/>
          <w:jc w:val="center"/>
        </w:trPr>
        <w:tc>
          <w:tcPr>
            <w:tcW w:w="10286" w:type="dxa"/>
            <w:shd w:val="clear" w:color="auto" w:fill="auto"/>
            <w:vAlign w:val="center"/>
          </w:tcPr>
          <w:tbl>
            <w:tblPr>
              <w:tblStyle w:val="6"/>
              <w:tblW w:w="10140" w:type="dxa"/>
              <w:tblInd w:w="0" w:type="dxa"/>
              <w:tblLayout w:type="fixed"/>
              <w:tblCellMar>
                <w:top w:w="0" w:type="dxa"/>
                <w:left w:w="108" w:type="dxa"/>
                <w:bottom w:w="0" w:type="dxa"/>
                <w:right w:w="108" w:type="dxa"/>
              </w:tblCellMar>
            </w:tblPr>
            <w:tblGrid>
              <w:gridCol w:w="336"/>
              <w:gridCol w:w="335"/>
              <w:gridCol w:w="335"/>
              <w:gridCol w:w="3044"/>
              <w:gridCol w:w="1260"/>
              <w:gridCol w:w="1000"/>
              <w:gridCol w:w="880"/>
              <w:gridCol w:w="740"/>
              <w:gridCol w:w="640"/>
              <w:gridCol w:w="1570"/>
            </w:tblGrid>
            <w:tr>
              <w:tblPrEx>
                <w:tblCellMar>
                  <w:top w:w="0" w:type="dxa"/>
                  <w:left w:w="108" w:type="dxa"/>
                  <w:bottom w:w="0" w:type="dxa"/>
                  <w:right w:w="108" w:type="dxa"/>
                </w:tblCellMar>
              </w:tblPrEx>
              <w:trPr>
                <w:trHeight w:val="720" w:hRule="atLeast"/>
              </w:trPr>
              <w:tc>
                <w:tcPr>
                  <w:tcW w:w="10140" w:type="dxa"/>
                  <w:gridSpan w:val="10"/>
                  <w:tcBorders>
                    <w:top w:val="nil"/>
                    <w:left w:val="nil"/>
                    <w:bottom w:val="nil"/>
                    <w:right w:val="nil"/>
                  </w:tcBorders>
                  <w:shd w:val="clear" w:color="auto" w:fill="auto"/>
                  <w:noWrap/>
                  <w:vAlign w:val="center"/>
                </w:tcPr>
                <w:p>
                  <w:pPr>
                    <w:widowControl/>
                    <w:jc w:val="center"/>
                    <w:rPr>
                      <w:rFonts w:ascii="宋体" w:hAnsi="宋体" w:eastAsia="宋体" w:cs="Arial"/>
                      <w:b/>
                      <w:bCs/>
                      <w:kern w:val="0"/>
                      <w:sz w:val="36"/>
                      <w:szCs w:val="36"/>
                    </w:rPr>
                  </w:pPr>
                  <w:r>
                    <w:rPr>
                      <w:rFonts w:hint="eastAsia" w:ascii="宋体" w:hAnsi="宋体" w:eastAsia="宋体" w:cs="Arial"/>
                      <w:b/>
                      <w:bCs/>
                      <w:kern w:val="0"/>
                      <w:sz w:val="36"/>
                      <w:szCs w:val="36"/>
                    </w:rPr>
                    <w:t>支出决算批复表</w:t>
                  </w:r>
                </w:p>
              </w:tc>
            </w:tr>
            <w:tr>
              <w:tblPrEx>
                <w:tblCellMar>
                  <w:top w:w="0" w:type="dxa"/>
                  <w:left w:w="108" w:type="dxa"/>
                  <w:bottom w:w="0" w:type="dxa"/>
                  <w:right w:w="108" w:type="dxa"/>
                </w:tblCellMar>
              </w:tblPrEx>
              <w:trPr>
                <w:trHeight w:val="360" w:hRule="atLeast"/>
              </w:trPr>
              <w:tc>
                <w:tcPr>
                  <w:tcW w:w="10140" w:type="dxa"/>
                  <w:gridSpan w:val="10"/>
                  <w:tcBorders>
                    <w:top w:val="nil"/>
                    <w:left w:val="nil"/>
                    <w:bottom w:val="nil"/>
                    <w:right w:val="nil"/>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宋体"/>
                      <w:color w:val="000000"/>
                      <w:kern w:val="0"/>
                      <w:sz w:val="20"/>
                      <w:szCs w:val="20"/>
                    </w:rPr>
                    <w:t>公开</w:t>
                  </w:r>
                  <w:r>
                    <w:rPr>
                      <w:rFonts w:hint="eastAsia" w:ascii="宋体" w:hAnsi="宋体" w:eastAsia="宋体" w:cs="Arial"/>
                      <w:kern w:val="0"/>
                      <w:sz w:val="22"/>
                    </w:rPr>
                    <w:t>03表</w:t>
                  </w:r>
                </w:p>
              </w:tc>
            </w:tr>
            <w:tr>
              <w:trPr>
                <w:trHeight w:val="360" w:hRule="atLeast"/>
              </w:trPr>
              <w:tc>
                <w:tcPr>
                  <w:tcW w:w="5310" w:type="dxa"/>
                  <w:gridSpan w:val="5"/>
                  <w:tcBorders>
                    <w:top w:val="nil"/>
                    <w:left w:val="nil"/>
                    <w:bottom w:val="nil"/>
                    <w:right w:val="nil"/>
                  </w:tcBorders>
                  <w:shd w:val="clear" w:color="auto" w:fill="auto"/>
                  <w:noWrap/>
                  <w:vAlign w:val="center"/>
                </w:tcPr>
                <w:p>
                  <w:pPr>
                    <w:widowControl/>
                    <w:jc w:val="left"/>
                    <w:rPr>
                      <w:rFonts w:ascii="宋体" w:hAnsi="宋体" w:eastAsia="宋体" w:cs="Arial"/>
                      <w:kern w:val="0"/>
                      <w:sz w:val="22"/>
                    </w:rPr>
                  </w:pPr>
                  <w:r>
                    <w:rPr>
                      <w:rFonts w:hint="eastAsia" w:ascii="宋体" w:hAnsi="宋体" w:eastAsia="宋体" w:cs="Arial"/>
                      <w:kern w:val="0"/>
                      <w:sz w:val="22"/>
                    </w:rPr>
                    <w:t>部门（单位）：沙河市东石岭水库库渠事务中心(本级)</w:t>
                  </w:r>
                </w:p>
              </w:tc>
              <w:tc>
                <w:tcPr>
                  <w:tcW w:w="1000" w:type="dxa"/>
                  <w:tcBorders>
                    <w:top w:val="nil"/>
                    <w:left w:val="nil"/>
                    <w:bottom w:val="nil"/>
                    <w:right w:val="nil"/>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2023年度</w:t>
                  </w:r>
                </w:p>
              </w:tc>
              <w:tc>
                <w:tcPr>
                  <w:tcW w:w="880"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740"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640"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1570" w:type="dxa"/>
                  <w:tcBorders>
                    <w:top w:val="nil"/>
                    <w:left w:val="nil"/>
                    <w:bottom w:val="nil"/>
                    <w:right w:val="nil"/>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金额单位：万元</w:t>
                  </w:r>
                </w:p>
              </w:tc>
            </w:tr>
            <w:tr>
              <w:tblPrEx>
                <w:tblCellMar>
                  <w:top w:w="0" w:type="dxa"/>
                  <w:left w:w="108" w:type="dxa"/>
                  <w:bottom w:w="0" w:type="dxa"/>
                  <w:right w:w="108" w:type="dxa"/>
                </w:tblCellMar>
              </w:tblPrEx>
              <w:trPr>
                <w:trHeight w:val="360" w:hRule="atLeast"/>
              </w:trPr>
              <w:tc>
                <w:tcPr>
                  <w:tcW w:w="1006" w:type="dxa"/>
                  <w:gridSpan w:val="3"/>
                  <w:vMerge w:val="restart"/>
                  <w:tcBorders>
                    <w:top w:val="single" w:color="000000" w:sz="4" w:space="0"/>
                    <w:left w:val="single" w:color="000000" w:sz="4" w:space="0"/>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科目代码</w:t>
                  </w:r>
                </w:p>
              </w:tc>
              <w:tc>
                <w:tcPr>
                  <w:tcW w:w="3044" w:type="dxa"/>
                  <w:vMerge w:val="restart"/>
                  <w:tcBorders>
                    <w:top w:val="single" w:color="000000" w:sz="4" w:space="0"/>
                    <w:left w:val="single" w:color="000000" w:sz="4" w:space="0"/>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科目名称</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本年支出合计</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基本支出</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项目支出</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上缴上级支出</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经营支出</w:t>
                  </w:r>
                </w:p>
              </w:tc>
              <w:tc>
                <w:tcPr>
                  <w:tcW w:w="1570" w:type="dxa"/>
                  <w:vMerge w:val="restart"/>
                  <w:tcBorders>
                    <w:top w:val="single" w:color="000000" w:sz="4" w:space="0"/>
                    <w:left w:val="single" w:color="000000" w:sz="4" w:space="0"/>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对附属单位补助支出</w:t>
                  </w:r>
                </w:p>
              </w:tc>
            </w:tr>
            <w:tr>
              <w:tblPrEx>
                <w:tblCellMar>
                  <w:top w:w="0" w:type="dxa"/>
                  <w:left w:w="108" w:type="dxa"/>
                  <w:bottom w:w="0" w:type="dxa"/>
                  <w:right w:w="108" w:type="dxa"/>
                </w:tblCellMar>
              </w:tblPrEx>
              <w:trPr>
                <w:trHeight w:val="360" w:hRule="atLeast"/>
              </w:trPr>
              <w:tc>
                <w:tcPr>
                  <w:tcW w:w="1006"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30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6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r>
            <w:tr>
              <w:tblPrEx>
                <w:tblCellMar>
                  <w:top w:w="0" w:type="dxa"/>
                  <w:left w:w="108" w:type="dxa"/>
                  <w:bottom w:w="0" w:type="dxa"/>
                  <w:right w:w="108" w:type="dxa"/>
                </w:tblCellMar>
              </w:tblPrEx>
              <w:trPr>
                <w:trHeight w:val="360" w:hRule="atLeast"/>
              </w:trPr>
              <w:tc>
                <w:tcPr>
                  <w:tcW w:w="1006"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30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6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r>
            <w:tr>
              <w:tblPrEx>
                <w:tblCellMar>
                  <w:top w:w="0" w:type="dxa"/>
                  <w:left w:w="108" w:type="dxa"/>
                  <w:bottom w:w="0" w:type="dxa"/>
                  <w:right w:w="108" w:type="dxa"/>
                </w:tblCellMar>
              </w:tblPrEx>
              <w:trPr>
                <w:trHeight w:val="360" w:hRule="atLeast"/>
              </w:trPr>
              <w:tc>
                <w:tcPr>
                  <w:tcW w:w="1006"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30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6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r>
            <w:tr>
              <w:tblPrEx>
                <w:tblCellMar>
                  <w:top w:w="0" w:type="dxa"/>
                  <w:left w:w="108" w:type="dxa"/>
                  <w:bottom w:w="0" w:type="dxa"/>
                  <w:right w:w="108" w:type="dxa"/>
                </w:tblCellMar>
              </w:tblPrEx>
              <w:trPr>
                <w:trHeight w:val="360" w:hRule="atLeast"/>
              </w:trPr>
              <w:tc>
                <w:tcPr>
                  <w:tcW w:w="336" w:type="dxa"/>
                  <w:vMerge w:val="restart"/>
                  <w:tcBorders>
                    <w:top w:val="nil"/>
                    <w:left w:val="single" w:color="000000" w:sz="4" w:space="0"/>
                    <w:bottom w:val="single" w:color="000000" w:sz="4" w:space="0"/>
                    <w:right w:val="single" w:color="000000" w:sz="4" w:space="0"/>
                  </w:tcBorders>
                  <w:shd w:val="clear" w:color="C0C0C0" w:fill="C0C0C0"/>
                  <w:noWrap/>
                  <w:vAlign w:val="center"/>
                </w:tcPr>
                <w:p>
                  <w:pPr>
                    <w:widowControl/>
                    <w:jc w:val="center"/>
                    <w:rPr>
                      <w:rFonts w:ascii="宋体" w:hAnsi="宋体" w:eastAsia="宋体" w:cs="Arial"/>
                      <w:kern w:val="0"/>
                      <w:sz w:val="22"/>
                    </w:rPr>
                  </w:pPr>
                  <w:r>
                    <w:rPr>
                      <w:rFonts w:hint="eastAsia" w:ascii="宋体" w:hAnsi="宋体" w:eastAsia="宋体" w:cs="Arial"/>
                      <w:kern w:val="0"/>
                      <w:sz w:val="22"/>
                    </w:rPr>
                    <w:t>类</w:t>
                  </w:r>
                </w:p>
              </w:tc>
              <w:tc>
                <w:tcPr>
                  <w:tcW w:w="335" w:type="dxa"/>
                  <w:vMerge w:val="restart"/>
                  <w:tcBorders>
                    <w:top w:val="nil"/>
                    <w:left w:val="single" w:color="000000" w:sz="4" w:space="0"/>
                    <w:bottom w:val="single" w:color="000000" w:sz="4" w:space="0"/>
                    <w:right w:val="single" w:color="000000" w:sz="4" w:space="0"/>
                  </w:tcBorders>
                  <w:shd w:val="clear" w:color="C0C0C0" w:fill="C0C0C0"/>
                  <w:noWrap/>
                  <w:vAlign w:val="center"/>
                </w:tcPr>
                <w:p>
                  <w:pPr>
                    <w:widowControl/>
                    <w:jc w:val="center"/>
                    <w:rPr>
                      <w:rFonts w:ascii="宋体" w:hAnsi="宋体" w:eastAsia="宋体" w:cs="Arial"/>
                      <w:kern w:val="0"/>
                      <w:sz w:val="22"/>
                    </w:rPr>
                  </w:pPr>
                  <w:r>
                    <w:rPr>
                      <w:rFonts w:hint="eastAsia" w:ascii="宋体" w:hAnsi="宋体" w:eastAsia="宋体" w:cs="Arial"/>
                      <w:kern w:val="0"/>
                      <w:sz w:val="22"/>
                    </w:rPr>
                    <w:t>款</w:t>
                  </w:r>
                </w:p>
              </w:tc>
              <w:tc>
                <w:tcPr>
                  <w:tcW w:w="335" w:type="dxa"/>
                  <w:vMerge w:val="restart"/>
                  <w:tcBorders>
                    <w:top w:val="nil"/>
                    <w:left w:val="single" w:color="000000" w:sz="4" w:space="0"/>
                    <w:bottom w:val="single" w:color="000000" w:sz="4" w:space="0"/>
                    <w:right w:val="single" w:color="000000" w:sz="4" w:space="0"/>
                  </w:tcBorders>
                  <w:shd w:val="clear" w:color="C0C0C0" w:fill="C0C0C0"/>
                  <w:noWrap/>
                  <w:vAlign w:val="center"/>
                </w:tcPr>
                <w:p>
                  <w:pPr>
                    <w:widowControl/>
                    <w:jc w:val="center"/>
                    <w:rPr>
                      <w:rFonts w:ascii="宋体" w:hAnsi="宋体" w:eastAsia="宋体" w:cs="Arial"/>
                      <w:kern w:val="0"/>
                      <w:sz w:val="22"/>
                    </w:rPr>
                  </w:pPr>
                  <w:r>
                    <w:rPr>
                      <w:rFonts w:hint="eastAsia" w:ascii="宋体" w:hAnsi="宋体" w:eastAsia="宋体" w:cs="Arial"/>
                      <w:kern w:val="0"/>
                      <w:sz w:val="22"/>
                    </w:rPr>
                    <w:t>项</w:t>
                  </w:r>
                </w:p>
              </w:tc>
              <w:tc>
                <w:tcPr>
                  <w:tcW w:w="3044"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栏次</w:t>
                  </w:r>
                </w:p>
              </w:tc>
              <w:tc>
                <w:tcPr>
                  <w:tcW w:w="1260" w:type="dxa"/>
                  <w:tcBorders>
                    <w:top w:val="nil"/>
                    <w:left w:val="nil"/>
                    <w:bottom w:val="single" w:color="000000" w:sz="4" w:space="0"/>
                    <w:right w:val="single" w:color="000000" w:sz="4" w:space="0"/>
                  </w:tcBorders>
                  <w:shd w:val="clear" w:color="C0C0C0" w:fill="C0C0C0"/>
                  <w:noWrap/>
                  <w:vAlign w:val="center"/>
                </w:tcPr>
                <w:p>
                  <w:pPr>
                    <w:widowControl/>
                    <w:jc w:val="center"/>
                    <w:rPr>
                      <w:rFonts w:ascii="宋体" w:hAnsi="宋体" w:eastAsia="宋体" w:cs="Arial"/>
                      <w:kern w:val="0"/>
                      <w:sz w:val="22"/>
                    </w:rPr>
                  </w:pPr>
                  <w:r>
                    <w:rPr>
                      <w:rFonts w:hint="eastAsia" w:ascii="宋体" w:hAnsi="宋体" w:eastAsia="宋体" w:cs="Arial"/>
                      <w:kern w:val="0"/>
                      <w:sz w:val="22"/>
                    </w:rPr>
                    <w:t>1</w:t>
                  </w:r>
                </w:p>
              </w:tc>
              <w:tc>
                <w:tcPr>
                  <w:tcW w:w="1000" w:type="dxa"/>
                  <w:tcBorders>
                    <w:top w:val="nil"/>
                    <w:left w:val="nil"/>
                    <w:bottom w:val="single" w:color="000000" w:sz="4" w:space="0"/>
                    <w:right w:val="single" w:color="000000" w:sz="4" w:space="0"/>
                  </w:tcBorders>
                  <w:shd w:val="clear" w:color="C0C0C0" w:fill="C0C0C0"/>
                  <w:noWrap/>
                  <w:vAlign w:val="center"/>
                </w:tcPr>
                <w:p>
                  <w:pPr>
                    <w:widowControl/>
                    <w:jc w:val="center"/>
                    <w:rPr>
                      <w:rFonts w:ascii="宋体" w:hAnsi="宋体" w:eastAsia="宋体" w:cs="Arial"/>
                      <w:kern w:val="0"/>
                      <w:sz w:val="22"/>
                    </w:rPr>
                  </w:pPr>
                  <w:r>
                    <w:rPr>
                      <w:rFonts w:hint="eastAsia" w:ascii="宋体" w:hAnsi="宋体" w:eastAsia="宋体" w:cs="Arial"/>
                      <w:kern w:val="0"/>
                      <w:sz w:val="22"/>
                    </w:rPr>
                    <w:t>2</w:t>
                  </w:r>
                </w:p>
              </w:tc>
              <w:tc>
                <w:tcPr>
                  <w:tcW w:w="880" w:type="dxa"/>
                  <w:tcBorders>
                    <w:top w:val="nil"/>
                    <w:left w:val="nil"/>
                    <w:bottom w:val="single" w:color="000000" w:sz="4" w:space="0"/>
                    <w:right w:val="single" w:color="000000" w:sz="4" w:space="0"/>
                  </w:tcBorders>
                  <w:shd w:val="clear" w:color="C0C0C0" w:fill="C0C0C0"/>
                  <w:noWrap/>
                  <w:vAlign w:val="center"/>
                </w:tcPr>
                <w:p>
                  <w:pPr>
                    <w:widowControl/>
                    <w:jc w:val="center"/>
                    <w:rPr>
                      <w:rFonts w:ascii="宋体" w:hAnsi="宋体" w:eastAsia="宋体" w:cs="Arial"/>
                      <w:kern w:val="0"/>
                      <w:sz w:val="22"/>
                    </w:rPr>
                  </w:pPr>
                  <w:r>
                    <w:rPr>
                      <w:rFonts w:hint="eastAsia" w:ascii="宋体" w:hAnsi="宋体" w:eastAsia="宋体" w:cs="Arial"/>
                      <w:kern w:val="0"/>
                      <w:sz w:val="22"/>
                    </w:rPr>
                    <w:t>3</w:t>
                  </w:r>
                </w:p>
              </w:tc>
              <w:tc>
                <w:tcPr>
                  <w:tcW w:w="740" w:type="dxa"/>
                  <w:tcBorders>
                    <w:top w:val="nil"/>
                    <w:left w:val="nil"/>
                    <w:bottom w:val="single" w:color="000000" w:sz="4" w:space="0"/>
                    <w:right w:val="single" w:color="000000" w:sz="4" w:space="0"/>
                  </w:tcBorders>
                  <w:shd w:val="clear" w:color="C0C0C0" w:fill="C0C0C0"/>
                  <w:noWrap/>
                  <w:vAlign w:val="center"/>
                </w:tcPr>
                <w:p>
                  <w:pPr>
                    <w:widowControl/>
                    <w:jc w:val="center"/>
                    <w:rPr>
                      <w:rFonts w:ascii="宋体" w:hAnsi="宋体" w:eastAsia="宋体" w:cs="Arial"/>
                      <w:kern w:val="0"/>
                      <w:sz w:val="22"/>
                    </w:rPr>
                  </w:pPr>
                  <w:r>
                    <w:rPr>
                      <w:rFonts w:hint="eastAsia" w:ascii="宋体" w:hAnsi="宋体" w:eastAsia="宋体" w:cs="Arial"/>
                      <w:kern w:val="0"/>
                      <w:sz w:val="22"/>
                    </w:rPr>
                    <w:t>4</w:t>
                  </w:r>
                </w:p>
              </w:tc>
              <w:tc>
                <w:tcPr>
                  <w:tcW w:w="640" w:type="dxa"/>
                  <w:tcBorders>
                    <w:top w:val="nil"/>
                    <w:left w:val="nil"/>
                    <w:bottom w:val="single" w:color="000000" w:sz="4" w:space="0"/>
                    <w:right w:val="single" w:color="000000" w:sz="4" w:space="0"/>
                  </w:tcBorders>
                  <w:shd w:val="clear" w:color="C0C0C0" w:fill="C0C0C0"/>
                  <w:noWrap/>
                  <w:vAlign w:val="center"/>
                </w:tcPr>
                <w:p>
                  <w:pPr>
                    <w:widowControl/>
                    <w:jc w:val="center"/>
                    <w:rPr>
                      <w:rFonts w:ascii="宋体" w:hAnsi="宋体" w:eastAsia="宋体" w:cs="Arial"/>
                      <w:kern w:val="0"/>
                      <w:sz w:val="22"/>
                    </w:rPr>
                  </w:pPr>
                  <w:r>
                    <w:rPr>
                      <w:rFonts w:hint="eastAsia" w:ascii="宋体" w:hAnsi="宋体" w:eastAsia="宋体" w:cs="Arial"/>
                      <w:kern w:val="0"/>
                      <w:sz w:val="22"/>
                    </w:rPr>
                    <w:t>5</w:t>
                  </w:r>
                </w:p>
              </w:tc>
              <w:tc>
                <w:tcPr>
                  <w:tcW w:w="1570" w:type="dxa"/>
                  <w:tcBorders>
                    <w:top w:val="nil"/>
                    <w:left w:val="nil"/>
                    <w:bottom w:val="single" w:color="000000" w:sz="4" w:space="0"/>
                    <w:right w:val="single" w:color="000000" w:sz="4" w:space="0"/>
                  </w:tcBorders>
                  <w:shd w:val="clear" w:color="C0C0C0" w:fill="C0C0C0"/>
                  <w:noWrap/>
                  <w:vAlign w:val="center"/>
                </w:tcPr>
                <w:p>
                  <w:pPr>
                    <w:widowControl/>
                    <w:jc w:val="center"/>
                    <w:rPr>
                      <w:rFonts w:ascii="宋体" w:hAnsi="宋体" w:eastAsia="宋体" w:cs="Arial"/>
                      <w:kern w:val="0"/>
                      <w:sz w:val="22"/>
                    </w:rPr>
                  </w:pPr>
                  <w:r>
                    <w:rPr>
                      <w:rFonts w:hint="eastAsia" w:ascii="宋体" w:hAnsi="宋体" w:eastAsia="宋体" w:cs="Arial"/>
                      <w:kern w:val="0"/>
                      <w:sz w:val="22"/>
                    </w:rPr>
                    <w:t>6</w:t>
                  </w:r>
                </w:p>
              </w:tc>
            </w:tr>
            <w:tr>
              <w:tblPrEx>
                <w:tblCellMar>
                  <w:top w:w="0" w:type="dxa"/>
                  <w:left w:w="108" w:type="dxa"/>
                  <w:bottom w:w="0" w:type="dxa"/>
                  <w:right w:w="108" w:type="dxa"/>
                </w:tblCellMar>
              </w:tblPrEx>
              <w:trPr>
                <w:trHeight w:val="360" w:hRule="atLeast"/>
              </w:trPr>
              <w:tc>
                <w:tcPr>
                  <w:tcW w:w="33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3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3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3044"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合计</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303.69</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90.03</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213.65</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439"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2"/>
                    </w:rPr>
                  </w:pPr>
                  <w:r>
                    <w:rPr>
                      <w:rFonts w:hint="eastAsia" w:ascii="宋体" w:hAnsi="宋体" w:eastAsia="宋体" w:cs="Arial"/>
                      <w:kern w:val="0"/>
                      <w:sz w:val="22"/>
                    </w:rPr>
                    <w:t>208</w:t>
                  </w:r>
                </w:p>
              </w:tc>
              <w:tc>
                <w:tcPr>
                  <w:tcW w:w="304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社会保障和就业支出</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7.39</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7.39</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55"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2"/>
                    </w:rPr>
                  </w:pPr>
                  <w:r>
                    <w:rPr>
                      <w:rFonts w:hint="eastAsia" w:ascii="宋体" w:hAnsi="宋体" w:eastAsia="宋体" w:cs="Arial"/>
                      <w:kern w:val="0"/>
                      <w:sz w:val="22"/>
                    </w:rPr>
                    <w:t>20805</w:t>
                  </w:r>
                </w:p>
              </w:tc>
              <w:tc>
                <w:tcPr>
                  <w:tcW w:w="304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行政事业单位养老支出</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7.39</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7.39</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660"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2"/>
                    </w:rPr>
                  </w:pPr>
                  <w:r>
                    <w:rPr>
                      <w:rFonts w:hint="eastAsia" w:ascii="宋体" w:hAnsi="宋体" w:eastAsia="宋体" w:cs="Arial"/>
                      <w:kern w:val="0"/>
                      <w:sz w:val="22"/>
                    </w:rPr>
                    <w:t>2080505</w:t>
                  </w:r>
                </w:p>
              </w:tc>
              <w:tc>
                <w:tcPr>
                  <w:tcW w:w="304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 xml:space="preserve">  机关事业单位基本养老保险缴费支出</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7.39</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7.39</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439"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2"/>
                    </w:rPr>
                  </w:pPr>
                  <w:r>
                    <w:rPr>
                      <w:rFonts w:hint="eastAsia" w:ascii="宋体" w:hAnsi="宋体" w:eastAsia="宋体" w:cs="Arial"/>
                      <w:kern w:val="0"/>
                      <w:sz w:val="22"/>
                    </w:rPr>
                    <w:t>210</w:t>
                  </w:r>
                </w:p>
              </w:tc>
              <w:tc>
                <w:tcPr>
                  <w:tcW w:w="304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卫生健康支出</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3.14</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3.14</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439"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2"/>
                    </w:rPr>
                  </w:pPr>
                  <w:r>
                    <w:rPr>
                      <w:rFonts w:hint="eastAsia" w:ascii="宋体" w:hAnsi="宋体" w:eastAsia="宋体" w:cs="Arial"/>
                      <w:kern w:val="0"/>
                      <w:sz w:val="22"/>
                    </w:rPr>
                    <w:t>21011</w:t>
                  </w:r>
                </w:p>
              </w:tc>
              <w:tc>
                <w:tcPr>
                  <w:tcW w:w="304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行政事业单位医疗</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3.14</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3.14</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85"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2"/>
                    </w:rPr>
                  </w:pPr>
                  <w:r>
                    <w:rPr>
                      <w:rFonts w:hint="eastAsia" w:ascii="宋体" w:hAnsi="宋体" w:eastAsia="宋体" w:cs="Arial"/>
                      <w:kern w:val="0"/>
                      <w:sz w:val="22"/>
                    </w:rPr>
                    <w:t>2101199</w:t>
                  </w:r>
                </w:p>
              </w:tc>
              <w:tc>
                <w:tcPr>
                  <w:tcW w:w="304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 xml:space="preserve">  其他行政事业单位医疗支出</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3.14</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3.14</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439"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2"/>
                    </w:rPr>
                  </w:pPr>
                  <w:r>
                    <w:rPr>
                      <w:rFonts w:hint="eastAsia" w:ascii="宋体" w:hAnsi="宋体" w:eastAsia="宋体" w:cs="Arial"/>
                      <w:kern w:val="0"/>
                      <w:sz w:val="22"/>
                    </w:rPr>
                    <w:t>213</w:t>
                  </w:r>
                </w:p>
              </w:tc>
              <w:tc>
                <w:tcPr>
                  <w:tcW w:w="304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农林水支出</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286.97</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73.31</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213.65</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439"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2"/>
                    </w:rPr>
                  </w:pPr>
                  <w:r>
                    <w:rPr>
                      <w:rFonts w:hint="eastAsia" w:ascii="宋体" w:hAnsi="宋体" w:eastAsia="宋体" w:cs="Arial"/>
                      <w:kern w:val="0"/>
                      <w:sz w:val="22"/>
                    </w:rPr>
                    <w:t>21303</w:t>
                  </w:r>
                </w:p>
              </w:tc>
              <w:tc>
                <w:tcPr>
                  <w:tcW w:w="304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水利</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286.97</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73.31</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213.65</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439"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2"/>
                    </w:rPr>
                  </w:pPr>
                  <w:r>
                    <w:rPr>
                      <w:rFonts w:hint="eastAsia" w:ascii="宋体" w:hAnsi="宋体" w:eastAsia="宋体" w:cs="Arial"/>
                      <w:kern w:val="0"/>
                      <w:sz w:val="22"/>
                    </w:rPr>
                    <w:t>2130304</w:t>
                  </w:r>
                </w:p>
              </w:tc>
              <w:tc>
                <w:tcPr>
                  <w:tcW w:w="304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 xml:space="preserve">  水利行业业务管理</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78.26</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73.31</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4.95</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439"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2"/>
                    </w:rPr>
                  </w:pPr>
                  <w:r>
                    <w:rPr>
                      <w:rFonts w:hint="eastAsia" w:ascii="宋体" w:hAnsi="宋体" w:eastAsia="宋体" w:cs="Arial"/>
                      <w:kern w:val="0"/>
                      <w:sz w:val="22"/>
                    </w:rPr>
                    <w:t>2130305</w:t>
                  </w:r>
                </w:p>
              </w:tc>
              <w:tc>
                <w:tcPr>
                  <w:tcW w:w="304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 xml:space="preserve">  水利工程建设</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208.70</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208.70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439"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2"/>
                    </w:rPr>
                  </w:pPr>
                  <w:r>
                    <w:rPr>
                      <w:rFonts w:hint="eastAsia" w:ascii="宋体" w:hAnsi="宋体" w:eastAsia="宋体" w:cs="Arial"/>
                      <w:kern w:val="0"/>
                      <w:sz w:val="22"/>
                    </w:rPr>
                    <w:t>221</w:t>
                  </w:r>
                </w:p>
              </w:tc>
              <w:tc>
                <w:tcPr>
                  <w:tcW w:w="304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住房保障支出</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6.19</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6.19</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439"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2"/>
                    </w:rPr>
                  </w:pPr>
                  <w:r>
                    <w:rPr>
                      <w:rFonts w:hint="eastAsia" w:ascii="宋体" w:hAnsi="宋体" w:eastAsia="宋体" w:cs="Arial"/>
                      <w:kern w:val="0"/>
                      <w:sz w:val="22"/>
                    </w:rPr>
                    <w:t>22102</w:t>
                  </w:r>
                </w:p>
              </w:tc>
              <w:tc>
                <w:tcPr>
                  <w:tcW w:w="304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住房改革支出</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6.19</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6.19</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439"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2"/>
                    </w:rPr>
                  </w:pPr>
                  <w:r>
                    <w:rPr>
                      <w:rFonts w:hint="eastAsia" w:ascii="宋体" w:hAnsi="宋体" w:eastAsia="宋体" w:cs="Arial"/>
                      <w:kern w:val="0"/>
                      <w:sz w:val="22"/>
                    </w:rPr>
                    <w:t>2210201</w:t>
                  </w:r>
                </w:p>
              </w:tc>
              <w:tc>
                <w:tcPr>
                  <w:tcW w:w="304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 xml:space="preserve">  住房公积金</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6.19</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6.19</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bl>
          <w:p>
            <w:pPr>
              <w:widowControl/>
              <w:jc w:val="left"/>
              <w:textAlignment w:val="center"/>
              <w:rPr>
                <w:rFonts w:ascii="宋体" w:hAnsi="宋体" w:eastAsia="宋体" w:cs="宋体"/>
                <w:color w:val="000000"/>
                <w:kern w:val="0"/>
                <w:sz w:val="24"/>
                <w:szCs w:val="24"/>
              </w:rPr>
            </w:pP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注：本表反映部门本年度各项支出情况。</w:t>
            </w:r>
          </w:p>
        </w:tc>
      </w:tr>
    </w:tbl>
    <w:p>
      <w:pPr>
        <w:sectPr>
          <w:pgSz w:w="11906" w:h="16838"/>
          <w:pgMar w:top="1474" w:right="1474" w:bottom="1474" w:left="1474" w:header="851" w:footer="992" w:gutter="0"/>
          <w:cols w:space="0" w:num="1"/>
          <w:docGrid w:type="lines" w:linePitch="312" w:charSpace="0"/>
        </w:sectPr>
      </w:pPr>
    </w:p>
    <w:tbl>
      <w:tblPr>
        <w:tblStyle w:val="6"/>
        <w:tblW w:w="10900" w:type="dxa"/>
        <w:jc w:val="center"/>
        <w:tblLayout w:type="fixed"/>
        <w:tblCellMar>
          <w:top w:w="15" w:type="dxa"/>
          <w:left w:w="15" w:type="dxa"/>
          <w:bottom w:w="15" w:type="dxa"/>
          <w:right w:w="15" w:type="dxa"/>
        </w:tblCellMar>
      </w:tblPr>
      <w:tblGrid>
        <w:gridCol w:w="602"/>
        <w:gridCol w:w="1085"/>
        <w:gridCol w:w="2337"/>
        <w:gridCol w:w="2397"/>
        <w:gridCol w:w="2186"/>
        <w:gridCol w:w="1813"/>
        <w:gridCol w:w="480"/>
      </w:tblGrid>
      <w:tr>
        <w:tblPrEx>
          <w:tblCellMar>
            <w:top w:w="15" w:type="dxa"/>
            <w:left w:w="15" w:type="dxa"/>
            <w:bottom w:w="15" w:type="dxa"/>
            <w:right w:w="15" w:type="dxa"/>
          </w:tblCellMar>
        </w:tblPrEx>
        <w:trPr>
          <w:gridAfter w:val="1"/>
          <w:wAfter w:w="480" w:type="dxa"/>
          <w:trHeight w:val="843" w:hRule="atLeast"/>
          <w:jc w:val="center"/>
        </w:trPr>
        <w:tc>
          <w:tcPr>
            <w:tcW w:w="10420" w:type="dxa"/>
            <w:gridSpan w:val="6"/>
            <w:shd w:val="clear" w:color="auto" w:fill="auto"/>
            <w:vAlign w:val="center"/>
          </w:tcPr>
          <w:tbl>
            <w:tblPr>
              <w:tblStyle w:val="6"/>
              <w:tblW w:w="9788" w:type="dxa"/>
              <w:tblInd w:w="0" w:type="dxa"/>
              <w:tblLayout w:type="fixed"/>
              <w:tblCellMar>
                <w:top w:w="0" w:type="dxa"/>
                <w:left w:w="108" w:type="dxa"/>
                <w:bottom w:w="0" w:type="dxa"/>
                <w:right w:w="108" w:type="dxa"/>
              </w:tblCellMar>
            </w:tblPr>
            <w:tblGrid>
              <w:gridCol w:w="1709"/>
              <w:gridCol w:w="567"/>
              <w:gridCol w:w="850"/>
              <w:gridCol w:w="994"/>
              <w:gridCol w:w="849"/>
              <w:gridCol w:w="551"/>
              <w:gridCol w:w="16"/>
              <w:gridCol w:w="784"/>
              <w:gridCol w:w="208"/>
              <w:gridCol w:w="672"/>
              <w:gridCol w:w="320"/>
              <w:gridCol w:w="993"/>
              <w:gridCol w:w="1275"/>
            </w:tblGrid>
            <w:tr>
              <w:tblPrEx>
                <w:tblCellMar>
                  <w:top w:w="0" w:type="dxa"/>
                  <w:left w:w="108" w:type="dxa"/>
                  <w:bottom w:w="0" w:type="dxa"/>
                  <w:right w:w="108" w:type="dxa"/>
                </w:tblCellMar>
              </w:tblPrEx>
              <w:trPr>
                <w:trHeight w:val="720" w:hRule="atLeast"/>
              </w:trPr>
              <w:tc>
                <w:tcPr>
                  <w:tcW w:w="9788" w:type="dxa"/>
                  <w:gridSpan w:val="13"/>
                  <w:tcBorders>
                    <w:top w:val="nil"/>
                    <w:left w:val="nil"/>
                    <w:bottom w:val="nil"/>
                    <w:right w:val="nil"/>
                  </w:tcBorders>
                  <w:shd w:val="clear" w:color="auto" w:fill="auto"/>
                  <w:vAlign w:val="center"/>
                </w:tcPr>
                <w:p>
                  <w:pPr>
                    <w:widowControl/>
                    <w:jc w:val="center"/>
                    <w:rPr>
                      <w:rFonts w:ascii="宋体" w:hAnsi="宋体" w:eastAsia="宋体" w:cs="Arial"/>
                      <w:b/>
                      <w:bCs/>
                      <w:kern w:val="0"/>
                      <w:sz w:val="36"/>
                      <w:szCs w:val="36"/>
                    </w:rPr>
                  </w:pPr>
                  <w:r>
                    <w:rPr>
                      <w:rFonts w:hint="eastAsia" w:ascii="宋体" w:hAnsi="宋体" w:eastAsia="宋体" w:cs="Arial"/>
                      <w:b/>
                      <w:bCs/>
                      <w:kern w:val="0"/>
                      <w:sz w:val="36"/>
                      <w:szCs w:val="36"/>
                    </w:rPr>
                    <w:t>财政拨款收入支出决算批复表</w:t>
                  </w:r>
                </w:p>
              </w:tc>
            </w:tr>
            <w:tr>
              <w:tblPrEx>
                <w:tblCellMar>
                  <w:top w:w="0" w:type="dxa"/>
                  <w:left w:w="108" w:type="dxa"/>
                  <w:bottom w:w="0" w:type="dxa"/>
                  <w:right w:w="108" w:type="dxa"/>
                </w:tblCellMar>
              </w:tblPrEx>
              <w:trPr>
                <w:trHeight w:val="360" w:hRule="atLeast"/>
              </w:trPr>
              <w:tc>
                <w:tcPr>
                  <w:tcW w:w="9788" w:type="dxa"/>
                  <w:gridSpan w:val="13"/>
                  <w:tcBorders>
                    <w:top w:val="nil"/>
                    <w:left w:val="nil"/>
                    <w:bottom w:val="nil"/>
                    <w:right w:val="nil"/>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公开04表</w:t>
                  </w:r>
                </w:p>
              </w:tc>
            </w:tr>
            <w:tr>
              <w:tblPrEx>
                <w:tblCellMar>
                  <w:top w:w="0" w:type="dxa"/>
                  <w:left w:w="108" w:type="dxa"/>
                  <w:bottom w:w="0" w:type="dxa"/>
                  <w:right w:w="108" w:type="dxa"/>
                </w:tblCellMar>
              </w:tblPrEx>
              <w:trPr>
                <w:trHeight w:val="555" w:hRule="atLeast"/>
              </w:trPr>
              <w:tc>
                <w:tcPr>
                  <w:tcW w:w="4120" w:type="dxa"/>
                  <w:gridSpan w:val="4"/>
                  <w:tcBorders>
                    <w:top w:val="nil"/>
                    <w:left w:val="nil"/>
                    <w:bottom w:val="nil"/>
                    <w:right w:val="nil"/>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部门（单位）：沙河市东石岭水库库渠事务中心(本级)</w:t>
                  </w:r>
                </w:p>
              </w:tc>
              <w:tc>
                <w:tcPr>
                  <w:tcW w:w="1400" w:type="dxa"/>
                  <w:gridSpan w:val="2"/>
                  <w:tcBorders>
                    <w:top w:val="nil"/>
                    <w:left w:val="nil"/>
                    <w:bottom w:val="nil"/>
                    <w:right w:val="nil"/>
                  </w:tcBorders>
                  <w:shd w:val="clear" w:color="auto" w:fill="auto"/>
                  <w:vAlign w:val="center"/>
                </w:tcPr>
                <w:p>
                  <w:pPr>
                    <w:widowControl/>
                    <w:jc w:val="left"/>
                    <w:rPr>
                      <w:rFonts w:ascii="Arial" w:hAnsi="Arial" w:eastAsia="宋体" w:cs="Arial"/>
                      <w:kern w:val="0"/>
                      <w:sz w:val="20"/>
                      <w:szCs w:val="20"/>
                    </w:rPr>
                  </w:pPr>
                  <w:r>
                    <w:rPr>
                      <w:rFonts w:hint="eastAsia" w:ascii="宋体" w:hAnsi="宋体" w:eastAsia="宋体" w:cs="Arial"/>
                      <w:kern w:val="0"/>
                      <w:sz w:val="22"/>
                    </w:rPr>
                    <w:t>2023年度</w:t>
                  </w:r>
                </w:p>
              </w:tc>
              <w:tc>
                <w:tcPr>
                  <w:tcW w:w="800" w:type="dxa"/>
                  <w:gridSpan w:val="2"/>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880" w:type="dxa"/>
                  <w:gridSpan w:val="2"/>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2588" w:type="dxa"/>
                  <w:gridSpan w:val="3"/>
                  <w:tcBorders>
                    <w:top w:val="nil"/>
                    <w:left w:val="nil"/>
                    <w:bottom w:val="nil"/>
                    <w:right w:val="nil"/>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金额单位：万元</w:t>
                  </w:r>
                </w:p>
              </w:tc>
            </w:tr>
            <w:tr>
              <w:tblPrEx>
                <w:tblCellMar>
                  <w:top w:w="0" w:type="dxa"/>
                  <w:left w:w="108" w:type="dxa"/>
                  <w:bottom w:w="0" w:type="dxa"/>
                  <w:right w:w="108" w:type="dxa"/>
                </w:tblCellMar>
              </w:tblPrEx>
              <w:trPr>
                <w:trHeight w:val="360" w:hRule="atLeast"/>
              </w:trPr>
              <w:tc>
                <w:tcPr>
                  <w:tcW w:w="3126" w:type="dxa"/>
                  <w:gridSpan w:val="3"/>
                  <w:tcBorders>
                    <w:top w:val="single" w:color="000000" w:sz="4" w:space="0"/>
                    <w:left w:val="single" w:color="000000" w:sz="4" w:space="0"/>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收     入</w:t>
                  </w:r>
                </w:p>
              </w:tc>
              <w:tc>
                <w:tcPr>
                  <w:tcW w:w="6662" w:type="dxa"/>
                  <w:gridSpan w:val="10"/>
                  <w:tcBorders>
                    <w:top w:val="single" w:color="000000" w:sz="4" w:space="0"/>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支     出</w:t>
                  </w:r>
                </w:p>
              </w:tc>
            </w:tr>
            <w:tr>
              <w:tblPrEx>
                <w:tblCellMar>
                  <w:top w:w="0" w:type="dxa"/>
                  <w:left w:w="108" w:type="dxa"/>
                  <w:bottom w:w="0" w:type="dxa"/>
                  <w:right w:w="108" w:type="dxa"/>
                </w:tblCellMar>
              </w:tblPrEx>
              <w:trPr>
                <w:trHeight w:val="360" w:hRule="atLeast"/>
              </w:trPr>
              <w:tc>
                <w:tcPr>
                  <w:tcW w:w="1709" w:type="dxa"/>
                  <w:vMerge w:val="restart"/>
                  <w:tcBorders>
                    <w:top w:val="nil"/>
                    <w:left w:val="single" w:color="000000" w:sz="4" w:space="0"/>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项目</w:t>
                  </w:r>
                </w:p>
              </w:tc>
              <w:tc>
                <w:tcPr>
                  <w:tcW w:w="567" w:type="dxa"/>
                  <w:vMerge w:val="restart"/>
                  <w:tcBorders>
                    <w:top w:val="nil"/>
                    <w:left w:val="single" w:color="000000" w:sz="4" w:space="0"/>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行次</w:t>
                  </w:r>
                </w:p>
              </w:tc>
              <w:tc>
                <w:tcPr>
                  <w:tcW w:w="850" w:type="dxa"/>
                  <w:vMerge w:val="restart"/>
                  <w:tcBorders>
                    <w:top w:val="nil"/>
                    <w:left w:val="single" w:color="000000" w:sz="4" w:space="0"/>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金额</w:t>
                  </w:r>
                </w:p>
              </w:tc>
              <w:tc>
                <w:tcPr>
                  <w:tcW w:w="1843" w:type="dxa"/>
                  <w:gridSpan w:val="2"/>
                  <w:vMerge w:val="restart"/>
                  <w:tcBorders>
                    <w:top w:val="nil"/>
                    <w:left w:val="single" w:color="000000" w:sz="4" w:space="0"/>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项目</w:t>
                  </w:r>
                </w:p>
              </w:tc>
              <w:tc>
                <w:tcPr>
                  <w:tcW w:w="567" w:type="dxa"/>
                  <w:gridSpan w:val="2"/>
                  <w:vMerge w:val="restart"/>
                  <w:tcBorders>
                    <w:top w:val="nil"/>
                    <w:left w:val="single" w:color="000000" w:sz="4" w:space="0"/>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行次</w:t>
                  </w:r>
                </w:p>
              </w:tc>
              <w:tc>
                <w:tcPr>
                  <w:tcW w:w="992" w:type="dxa"/>
                  <w:gridSpan w:val="2"/>
                  <w:vMerge w:val="restart"/>
                  <w:tcBorders>
                    <w:top w:val="nil"/>
                    <w:left w:val="single" w:color="000000" w:sz="4" w:space="0"/>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合计</w:t>
                  </w:r>
                </w:p>
              </w:tc>
              <w:tc>
                <w:tcPr>
                  <w:tcW w:w="992" w:type="dxa"/>
                  <w:gridSpan w:val="2"/>
                  <w:vMerge w:val="restart"/>
                  <w:tcBorders>
                    <w:top w:val="nil"/>
                    <w:left w:val="single" w:color="000000" w:sz="4" w:space="0"/>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一般公共预算财政拨款</w:t>
                  </w:r>
                </w:p>
              </w:tc>
              <w:tc>
                <w:tcPr>
                  <w:tcW w:w="993" w:type="dxa"/>
                  <w:vMerge w:val="restart"/>
                  <w:tcBorders>
                    <w:top w:val="nil"/>
                    <w:left w:val="single" w:color="000000" w:sz="4" w:space="0"/>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政府性基金预算财政拨款</w:t>
                  </w:r>
                </w:p>
              </w:tc>
              <w:tc>
                <w:tcPr>
                  <w:tcW w:w="1275" w:type="dxa"/>
                  <w:vMerge w:val="restart"/>
                  <w:tcBorders>
                    <w:top w:val="nil"/>
                    <w:left w:val="single" w:color="000000" w:sz="4" w:space="0"/>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国有资本经营预算财政拨款</w:t>
                  </w:r>
                </w:p>
              </w:tc>
            </w:tr>
            <w:tr>
              <w:tblPrEx>
                <w:tblCellMar>
                  <w:top w:w="0" w:type="dxa"/>
                  <w:left w:w="108" w:type="dxa"/>
                  <w:bottom w:w="0" w:type="dxa"/>
                  <w:right w:w="108" w:type="dxa"/>
                </w:tblCellMar>
              </w:tblPrEx>
              <w:trPr>
                <w:trHeight w:val="735" w:hRule="atLeast"/>
              </w:trPr>
              <w:tc>
                <w:tcPr>
                  <w:tcW w:w="1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5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1843"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56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992"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992"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99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12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r>
            <w:tr>
              <w:tblPrEx>
                <w:tblCellMar>
                  <w:top w:w="0" w:type="dxa"/>
                  <w:left w:w="108" w:type="dxa"/>
                  <w:bottom w:w="0" w:type="dxa"/>
                  <w:right w:w="108" w:type="dxa"/>
                </w:tblCellMar>
              </w:tblPrEx>
              <w:trPr>
                <w:trHeight w:val="36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栏次</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　</w:t>
                  </w:r>
                </w:p>
              </w:tc>
              <w:tc>
                <w:tcPr>
                  <w:tcW w:w="850"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1</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栏次</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2</w:t>
                  </w:r>
                </w:p>
              </w:tc>
              <w:tc>
                <w:tcPr>
                  <w:tcW w:w="992"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3</w:t>
                  </w:r>
                </w:p>
              </w:tc>
              <w:tc>
                <w:tcPr>
                  <w:tcW w:w="993"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4</w:t>
                  </w:r>
                </w:p>
              </w:tc>
              <w:tc>
                <w:tcPr>
                  <w:tcW w:w="1275"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5</w:t>
                  </w:r>
                </w:p>
              </w:tc>
            </w:tr>
            <w:tr>
              <w:tblPrEx>
                <w:tblCellMar>
                  <w:top w:w="0" w:type="dxa"/>
                  <w:left w:w="108" w:type="dxa"/>
                  <w:bottom w:w="0" w:type="dxa"/>
                  <w:right w:w="108" w:type="dxa"/>
                </w:tblCellMar>
              </w:tblPrEx>
              <w:trPr>
                <w:trHeight w:val="87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一、一般公共预算财政拨款</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1</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303.69</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一、一般公共服务支出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33</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8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二、政府性基金预算财政拨款</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2</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二、外交支出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34</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825"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三、国有资本经营财政拨款</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3</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三、国防支出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35</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4</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四、公共安全支出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36</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5</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五、教育支出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37</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6</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六、科学技术支出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38</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886"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7</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七、文化旅游体育与传媒支出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39</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8</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八、社会保障和就业支出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40</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7.39</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7.39</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9</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九、卫生健康支出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41</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3.14</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3.14</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10</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十、节能环保支出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42</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11</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十一、城乡社区支出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43</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12</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十二、农林水支出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44</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286.97</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286.97</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13</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十三、交通运输支出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45</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14</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十四、资源勘探工业信息等支出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46</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15</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十五、商业服务业等支出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47</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16</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十六、金融支出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48</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17</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十七、援助其他地区支出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49</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18</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十八、自然资源海洋气象等支出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50</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19</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十九、住房保障支出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51</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6.19</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6.19</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20</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二十、粮油物资储备支出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52</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21</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二十一、国有资本经营预算支出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53</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22</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二十二、灾害防治及应急管理支出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54</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23</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二十三、其他支出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55</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24</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二十四、债务还本支出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56</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25</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二十五、债务付息支出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57</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26</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二十六、抗疫特别国债安排的支出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58</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55"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本年收入合计</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27</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303.69</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本年支出合计</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59</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303.69</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303.69</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63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年初结转和结余</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28</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年末结转和结余</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60</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795"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一般公共预算财政拨款</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29</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61</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90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政府性基金预算财政拨款</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30</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62</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855"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国有资本经营预算财政拨款</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31</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63</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36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总计</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32</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303.69</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总计</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64</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303.69</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303.69</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bl>
          <w:p>
            <w:pPr>
              <w:widowControl/>
              <w:jc w:val="left"/>
              <w:textAlignment w:val="center"/>
              <w:rPr>
                <w:rFonts w:ascii="宋体" w:hAnsi="宋体" w:eastAsia="宋体" w:cs="宋体"/>
                <w:color w:val="000000"/>
                <w:kern w:val="0"/>
                <w:sz w:val="24"/>
                <w:szCs w:val="24"/>
              </w:rPr>
            </w:pP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注：本表反映部门本年度一般公共预算财政拨款、政府性基金预算财政拨款和国有资本经营预算财政拨款的总收支和年末结转结余情况。</w:t>
            </w:r>
          </w:p>
        </w:tc>
      </w:tr>
      <w:tr>
        <w:tblPrEx>
          <w:tblCellMar>
            <w:top w:w="15" w:type="dxa"/>
            <w:left w:w="15" w:type="dxa"/>
            <w:bottom w:w="15" w:type="dxa"/>
            <w:right w:w="15" w:type="dxa"/>
          </w:tblCellMar>
        </w:tblPrEx>
        <w:trPr>
          <w:trHeight w:val="628" w:hRule="atLeast"/>
          <w:jc w:val="center"/>
        </w:trPr>
        <w:tc>
          <w:tcPr>
            <w:tcW w:w="10900" w:type="dxa"/>
            <w:gridSpan w:val="7"/>
            <w:shd w:val="clear" w:color="auto" w:fill="FFFFFF"/>
            <w:vAlign w:val="center"/>
          </w:tcPr>
          <w:p>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color w:val="000000"/>
                <w:kern w:val="0"/>
                <w:sz w:val="32"/>
                <w:szCs w:val="32"/>
              </w:rPr>
              <w:br w:type="page"/>
            </w:r>
            <w:r>
              <w:rPr>
                <w:rFonts w:hint="eastAsia" w:ascii="华文中宋" w:hAnsi="华文中宋" w:eastAsia="华文中宋" w:cs="华文中宋"/>
                <w:b/>
                <w:bCs/>
                <w:color w:val="000000"/>
                <w:kern w:val="0"/>
                <w:sz w:val="32"/>
                <w:szCs w:val="32"/>
              </w:rPr>
              <w:t>一般公共预算财政拨款支出决算表</w:t>
            </w:r>
          </w:p>
        </w:tc>
      </w:tr>
      <w:tr>
        <w:tblPrEx>
          <w:tblCellMar>
            <w:top w:w="15" w:type="dxa"/>
            <w:left w:w="15" w:type="dxa"/>
            <w:bottom w:w="15" w:type="dxa"/>
            <w:right w:w="15" w:type="dxa"/>
          </w:tblCellMar>
        </w:tblPrEx>
        <w:trPr>
          <w:trHeight w:val="286" w:hRule="atLeast"/>
          <w:jc w:val="center"/>
        </w:trPr>
        <w:tc>
          <w:tcPr>
            <w:tcW w:w="602" w:type="dxa"/>
            <w:shd w:val="clear" w:color="auto" w:fill="FFFFFF"/>
            <w:vAlign w:val="center"/>
          </w:tcPr>
          <w:p>
            <w:pPr>
              <w:jc w:val="center"/>
              <w:rPr>
                <w:rFonts w:ascii="宋体" w:hAnsi="宋体" w:eastAsia="宋体" w:cs="宋体"/>
                <w:color w:val="000000"/>
                <w:sz w:val="20"/>
                <w:szCs w:val="20"/>
              </w:rPr>
            </w:pPr>
          </w:p>
        </w:tc>
        <w:tc>
          <w:tcPr>
            <w:tcW w:w="1085" w:type="dxa"/>
            <w:shd w:val="clear" w:color="auto" w:fill="FFFFFF"/>
            <w:vAlign w:val="center"/>
          </w:tcPr>
          <w:p>
            <w:pPr>
              <w:jc w:val="center"/>
              <w:rPr>
                <w:rFonts w:ascii="宋体" w:hAnsi="宋体" w:eastAsia="宋体" w:cs="宋体"/>
                <w:color w:val="000000"/>
                <w:sz w:val="20"/>
                <w:szCs w:val="20"/>
              </w:rPr>
            </w:pPr>
          </w:p>
        </w:tc>
        <w:tc>
          <w:tcPr>
            <w:tcW w:w="2337" w:type="dxa"/>
            <w:shd w:val="clear" w:color="auto" w:fill="FFFFFF"/>
            <w:vAlign w:val="center"/>
          </w:tcPr>
          <w:p>
            <w:pPr>
              <w:jc w:val="center"/>
              <w:rPr>
                <w:rFonts w:ascii="宋体" w:hAnsi="宋体" w:eastAsia="宋体" w:cs="宋体"/>
                <w:color w:val="000000"/>
                <w:sz w:val="20"/>
                <w:szCs w:val="20"/>
              </w:rPr>
            </w:pPr>
          </w:p>
        </w:tc>
        <w:tc>
          <w:tcPr>
            <w:tcW w:w="2397" w:type="dxa"/>
            <w:shd w:val="clear" w:color="auto" w:fill="FFFFFF"/>
            <w:vAlign w:val="center"/>
          </w:tcPr>
          <w:p>
            <w:pPr>
              <w:rPr>
                <w:rFonts w:ascii="宋体" w:hAnsi="宋体" w:eastAsia="宋体" w:cs="宋体"/>
                <w:color w:val="000000"/>
                <w:sz w:val="20"/>
                <w:szCs w:val="20"/>
              </w:rPr>
            </w:pPr>
          </w:p>
        </w:tc>
        <w:tc>
          <w:tcPr>
            <w:tcW w:w="2186" w:type="dxa"/>
            <w:shd w:val="clear" w:color="auto" w:fill="FFFFFF"/>
            <w:vAlign w:val="center"/>
          </w:tcPr>
          <w:p>
            <w:pPr>
              <w:rPr>
                <w:rFonts w:ascii="宋体" w:hAnsi="宋体" w:eastAsia="宋体" w:cs="宋体"/>
                <w:color w:val="000000"/>
                <w:sz w:val="20"/>
                <w:szCs w:val="20"/>
              </w:rPr>
            </w:pPr>
          </w:p>
        </w:tc>
        <w:tc>
          <w:tcPr>
            <w:tcW w:w="2293"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w:t>
            </w:r>
            <w:r>
              <w:rPr>
                <w:rStyle w:val="11"/>
                <w:rFonts w:hint="default"/>
              </w:rPr>
              <w:t>5表</w:t>
            </w:r>
          </w:p>
        </w:tc>
      </w:tr>
      <w:tr>
        <w:tblPrEx>
          <w:tblCellMar>
            <w:top w:w="15" w:type="dxa"/>
            <w:left w:w="15" w:type="dxa"/>
            <w:bottom w:w="15" w:type="dxa"/>
            <w:right w:w="15" w:type="dxa"/>
          </w:tblCellMar>
        </w:tblPrEx>
        <w:trPr>
          <w:trHeight w:val="327" w:hRule="atLeast"/>
          <w:jc w:val="center"/>
        </w:trPr>
        <w:tc>
          <w:tcPr>
            <w:tcW w:w="4024" w:type="dxa"/>
            <w:gridSpan w:val="3"/>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部门：沙河市东石岭水库库渠事务中心(本级)</w:t>
            </w:r>
          </w:p>
          <w:p>
            <w:pPr>
              <w:jc w:val="center"/>
              <w:rPr>
                <w:rFonts w:ascii="宋体" w:hAnsi="宋体" w:eastAsia="宋体" w:cs="宋体"/>
                <w:color w:val="000000"/>
                <w:sz w:val="20"/>
                <w:szCs w:val="20"/>
              </w:rPr>
            </w:pPr>
            <w:r>
              <w:rPr>
                <w:rFonts w:hint="eastAsia" w:ascii="宋体" w:hAnsi="宋体" w:eastAsia="宋体" w:cs="宋体"/>
                <w:color w:val="000000"/>
                <w:sz w:val="20"/>
                <w:szCs w:val="20"/>
              </w:rPr>
              <w:t xml:space="preserve">             </w:t>
            </w:r>
          </w:p>
        </w:tc>
        <w:tc>
          <w:tcPr>
            <w:tcW w:w="2397" w:type="dxa"/>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2186" w:type="dxa"/>
            <w:shd w:val="clear" w:color="auto" w:fill="FFFFFF"/>
            <w:vAlign w:val="center"/>
          </w:tcPr>
          <w:p>
            <w:pPr>
              <w:rPr>
                <w:rFonts w:ascii="宋体" w:hAnsi="宋体" w:eastAsia="宋体" w:cs="宋体"/>
                <w:color w:val="000000"/>
                <w:sz w:val="20"/>
                <w:szCs w:val="20"/>
              </w:rPr>
            </w:pPr>
          </w:p>
        </w:tc>
        <w:tc>
          <w:tcPr>
            <w:tcW w:w="2293"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15" w:type="dxa"/>
            <w:left w:w="15" w:type="dxa"/>
            <w:bottom w:w="15" w:type="dxa"/>
            <w:right w:w="15" w:type="dxa"/>
          </w:tblCellMar>
        </w:tblPrEx>
        <w:trPr>
          <w:trHeight w:val="380" w:hRule="atLeast"/>
          <w:jc w:val="center"/>
        </w:trPr>
        <w:tc>
          <w:tcPr>
            <w:tcW w:w="4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 xml:space="preserve">项 </w:t>
            </w:r>
            <w:r>
              <w:rPr>
                <w:rStyle w:val="12"/>
                <w:rFonts w:hint="default"/>
              </w:rPr>
              <w:t xml:space="preserve">   </w:t>
            </w:r>
            <w:r>
              <w:rPr>
                <w:rStyle w:val="13"/>
                <w:rFonts w:hint="default"/>
              </w:rPr>
              <w:t>目</w:t>
            </w:r>
          </w:p>
        </w:tc>
        <w:tc>
          <w:tcPr>
            <w:tcW w:w="6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本年支出</w:t>
            </w:r>
          </w:p>
        </w:tc>
      </w:tr>
      <w:tr>
        <w:tblPrEx>
          <w:tblCellMar>
            <w:top w:w="15" w:type="dxa"/>
            <w:left w:w="15" w:type="dxa"/>
            <w:bottom w:w="15" w:type="dxa"/>
            <w:right w:w="15" w:type="dxa"/>
          </w:tblCellMar>
        </w:tblPrEx>
        <w:trPr>
          <w:trHeight w:val="360" w:hRule="atLeast"/>
          <w:jc w:val="center"/>
        </w:trPr>
        <w:tc>
          <w:tcPr>
            <w:tcW w:w="16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科目代码</w:t>
            </w:r>
          </w:p>
        </w:tc>
        <w:tc>
          <w:tcPr>
            <w:tcW w:w="2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科目名称</w:t>
            </w:r>
          </w:p>
        </w:tc>
        <w:tc>
          <w:tcPr>
            <w:tcW w:w="2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小计</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 xml:space="preserve">基本支出  </w:t>
            </w:r>
          </w:p>
        </w:tc>
        <w:tc>
          <w:tcPr>
            <w:tcW w:w="22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项目支出</w:t>
            </w:r>
          </w:p>
        </w:tc>
      </w:tr>
      <w:tr>
        <w:tblPrEx>
          <w:tblCellMar>
            <w:top w:w="15" w:type="dxa"/>
            <w:left w:w="15" w:type="dxa"/>
            <w:bottom w:w="15" w:type="dxa"/>
            <w:right w:w="15" w:type="dxa"/>
          </w:tblCellMar>
        </w:tblPrEx>
        <w:trPr>
          <w:trHeight w:val="360" w:hRule="atLeast"/>
          <w:jc w:val="center"/>
        </w:trPr>
        <w:tc>
          <w:tcPr>
            <w:tcW w:w="16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12" w:hRule="atLeast"/>
          <w:jc w:val="center"/>
        </w:trPr>
        <w:tc>
          <w:tcPr>
            <w:tcW w:w="16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4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栏次</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r>
      <w:tr>
        <w:tblPrEx>
          <w:tblCellMar>
            <w:top w:w="15" w:type="dxa"/>
            <w:left w:w="15" w:type="dxa"/>
            <w:bottom w:w="15" w:type="dxa"/>
            <w:right w:w="15" w:type="dxa"/>
          </w:tblCellMar>
        </w:tblPrEx>
        <w:trPr>
          <w:trHeight w:val="360" w:hRule="atLeast"/>
          <w:jc w:val="center"/>
        </w:trPr>
        <w:tc>
          <w:tcPr>
            <w:tcW w:w="4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303.69</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90.03</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213.65</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208</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社会保障和就业支出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7.39</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7.39</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20805</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行政事业单位养老支出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7.39</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7.39</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2080505</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 xml:space="preserve">  机关事业单位基本养老保险缴费支出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7.39</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7.39</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210</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卫生健康支出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3.14</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3.14</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21011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行政事业单位医疗</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3.14</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3.14</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2101199</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 xml:space="preserve">  其他行政事业单位医疗支出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3.14</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3.14</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213</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农林水支出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286.97</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73.31</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213.65</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21303</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水利</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286.97</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73.31</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213.65</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2130304</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 xml:space="preserve">  水利行业业务管理</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78.26</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73.31</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4.95</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2130305</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 xml:space="preserve">  水利工程建设</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208.70</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208.70</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221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住房保障支出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6.19</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6.19</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22102</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住房改革支出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6.19</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6.19</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r>
      <w:tr>
        <w:tblPrEx>
          <w:tblCellMar>
            <w:top w:w="15" w:type="dxa"/>
            <w:left w:w="15" w:type="dxa"/>
            <w:bottom w:w="15" w:type="dxa"/>
            <w:right w:w="15" w:type="dxa"/>
          </w:tblCellMar>
        </w:tblPrEx>
        <w:trPr>
          <w:trHeight w:val="803" w:hRule="atLeast"/>
          <w:jc w:val="center"/>
        </w:trPr>
        <w:tc>
          <w:tcPr>
            <w:tcW w:w="10900" w:type="dxa"/>
            <w:gridSpan w:val="7"/>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注：本表反映部门本年度一般公共预算财政拨款支出情况。</w:t>
            </w:r>
          </w:p>
        </w:tc>
      </w:tr>
    </w:tbl>
    <w:p>
      <w:pPr>
        <w:sectPr>
          <w:pgSz w:w="11906" w:h="16838"/>
          <w:pgMar w:top="1474" w:right="1474" w:bottom="1474" w:left="1474" w:header="851" w:footer="992" w:gutter="0"/>
          <w:cols w:space="0" w:num="1"/>
          <w:docGrid w:type="lines" w:linePitch="312" w:charSpace="0"/>
        </w:sectPr>
      </w:pPr>
    </w:p>
    <w:tbl>
      <w:tblPr>
        <w:tblStyle w:val="6"/>
        <w:tblW w:w="10760" w:type="dxa"/>
        <w:jc w:val="center"/>
        <w:tblLayout w:type="fixed"/>
        <w:tblCellMar>
          <w:top w:w="15" w:type="dxa"/>
          <w:left w:w="15" w:type="dxa"/>
          <w:bottom w:w="15" w:type="dxa"/>
          <w:right w:w="15" w:type="dxa"/>
        </w:tblCellMar>
      </w:tblPr>
      <w:tblGrid>
        <w:gridCol w:w="663"/>
        <w:gridCol w:w="2440"/>
        <w:gridCol w:w="544"/>
        <w:gridCol w:w="634"/>
        <w:gridCol w:w="1871"/>
        <w:gridCol w:w="721"/>
        <w:gridCol w:w="615"/>
        <w:gridCol w:w="2543"/>
        <w:gridCol w:w="729"/>
      </w:tblGrid>
      <w:tr>
        <w:tblPrEx>
          <w:tblCellMar>
            <w:top w:w="15" w:type="dxa"/>
            <w:left w:w="15" w:type="dxa"/>
            <w:bottom w:w="15" w:type="dxa"/>
            <w:right w:w="15" w:type="dxa"/>
          </w:tblCellMar>
        </w:tblPrEx>
        <w:trPr>
          <w:trHeight w:val="619" w:hRule="atLeast"/>
          <w:jc w:val="center"/>
        </w:trPr>
        <w:tc>
          <w:tcPr>
            <w:tcW w:w="10760" w:type="dxa"/>
            <w:gridSpan w:val="9"/>
            <w:shd w:val="clear" w:color="auto" w:fill="FFFFFF"/>
            <w:vAlign w:val="center"/>
          </w:tcPr>
          <w:p>
            <w:pPr>
              <w:widowControl/>
              <w:tabs>
                <w:tab w:val="left" w:pos="3809"/>
              </w:tabs>
              <w:jc w:val="center"/>
              <w:textAlignment w:val="center"/>
              <w:rPr>
                <w:rFonts w:ascii="宋体" w:hAnsi="宋体" w:eastAsia="宋体" w:cs="宋体"/>
                <w:color w:val="000000"/>
                <w:kern w:val="0"/>
                <w:sz w:val="20"/>
                <w:szCs w:val="20"/>
              </w:rPr>
            </w:pPr>
            <w:r>
              <w:rPr>
                <w:rFonts w:hint="eastAsia" w:ascii="华文中宋" w:hAnsi="华文中宋" w:eastAsia="华文中宋" w:cs="华文中宋"/>
                <w:b/>
                <w:bCs/>
                <w:color w:val="000000"/>
                <w:kern w:val="0"/>
                <w:sz w:val="32"/>
                <w:szCs w:val="32"/>
              </w:rPr>
              <w:t>一般公共预算财政拨款基本支出决算</w:t>
            </w:r>
            <w:r>
              <w:rPr>
                <w:rStyle w:val="14"/>
                <w:rFonts w:hint="default"/>
                <w:b/>
                <w:bCs/>
              </w:rPr>
              <w:t>明细</w:t>
            </w:r>
            <w:r>
              <w:rPr>
                <w:rStyle w:val="15"/>
                <w:rFonts w:hint="default"/>
                <w:b/>
                <w:bCs/>
              </w:rPr>
              <w:t>表</w:t>
            </w:r>
          </w:p>
        </w:tc>
      </w:tr>
      <w:tr>
        <w:tblPrEx>
          <w:tblCellMar>
            <w:top w:w="15" w:type="dxa"/>
            <w:left w:w="15" w:type="dxa"/>
            <w:bottom w:w="15" w:type="dxa"/>
            <w:right w:w="15" w:type="dxa"/>
          </w:tblCellMar>
        </w:tblPrEx>
        <w:trPr>
          <w:trHeight w:val="211" w:hRule="atLeast"/>
          <w:jc w:val="center"/>
        </w:trPr>
        <w:tc>
          <w:tcPr>
            <w:tcW w:w="663" w:type="dxa"/>
            <w:shd w:val="clear" w:color="auto" w:fill="FFFFFF"/>
            <w:vAlign w:val="center"/>
          </w:tcPr>
          <w:p>
            <w:pPr>
              <w:jc w:val="center"/>
              <w:rPr>
                <w:rFonts w:ascii="宋体" w:hAnsi="宋体" w:eastAsia="宋体" w:cs="宋体"/>
                <w:color w:val="000000"/>
                <w:sz w:val="20"/>
                <w:szCs w:val="20"/>
              </w:rPr>
            </w:pPr>
          </w:p>
        </w:tc>
        <w:tc>
          <w:tcPr>
            <w:tcW w:w="2440" w:type="dxa"/>
            <w:shd w:val="clear" w:color="auto" w:fill="FFFFFF"/>
            <w:vAlign w:val="center"/>
          </w:tcPr>
          <w:p>
            <w:pPr>
              <w:jc w:val="center"/>
              <w:rPr>
                <w:rFonts w:ascii="宋体" w:hAnsi="宋体" w:eastAsia="宋体" w:cs="宋体"/>
                <w:color w:val="000000"/>
                <w:sz w:val="20"/>
                <w:szCs w:val="20"/>
              </w:rPr>
            </w:pPr>
          </w:p>
        </w:tc>
        <w:tc>
          <w:tcPr>
            <w:tcW w:w="544" w:type="dxa"/>
            <w:shd w:val="clear" w:color="auto" w:fill="FFFFFF"/>
            <w:vAlign w:val="center"/>
          </w:tcPr>
          <w:p>
            <w:pPr>
              <w:jc w:val="center"/>
              <w:rPr>
                <w:rFonts w:ascii="宋体" w:hAnsi="宋体" w:eastAsia="宋体" w:cs="宋体"/>
                <w:color w:val="000000"/>
                <w:sz w:val="20"/>
                <w:szCs w:val="20"/>
              </w:rPr>
            </w:pPr>
          </w:p>
        </w:tc>
        <w:tc>
          <w:tcPr>
            <w:tcW w:w="634" w:type="dxa"/>
            <w:shd w:val="clear" w:color="auto" w:fill="FFFFFF"/>
            <w:vAlign w:val="center"/>
          </w:tcPr>
          <w:p>
            <w:pPr>
              <w:rPr>
                <w:rFonts w:ascii="宋体" w:hAnsi="宋体" w:eastAsia="宋体" w:cs="宋体"/>
                <w:color w:val="000000"/>
                <w:sz w:val="20"/>
                <w:szCs w:val="20"/>
              </w:rPr>
            </w:pPr>
          </w:p>
        </w:tc>
        <w:tc>
          <w:tcPr>
            <w:tcW w:w="1871" w:type="dxa"/>
            <w:shd w:val="clear" w:color="auto" w:fill="FFFFFF"/>
            <w:vAlign w:val="center"/>
          </w:tcPr>
          <w:p>
            <w:pPr>
              <w:rPr>
                <w:rFonts w:ascii="宋体" w:hAnsi="宋体" w:eastAsia="宋体" w:cs="宋体"/>
                <w:color w:val="000000"/>
                <w:sz w:val="20"/>
                <w:szCs w:val="20"/>
              </w:rPr>
            </w:pPr>
          </w:p>
        </w:tc>
        <w:tc>
          <w:tcPr>
            <w:tcW w:w="721" w:type="dxa"/>
            <w:shd w:val="clear" w:color="auto" w:fill="FFFFFF"/>
            <w:vAlign w:val="center"/>
          </w:tcPr>
          <w:p>
            <w:pPr>
              <w:rPr>
                <w:rFonts w:ascii="宋体" w:hAnsi="宋体" w:eastAsia="宋体" w:cs="宋体"/>
                <w:color w:val="000000"/>
                <w:sz w:val="20"/>
                <w:szCs w:val="20"/>
              </w:rPr>
            </w:pPr>
          </w:p>
        </w:tc>
        <w:tc>
          <w:tcPr>
            <w:tcW w:w="615" w:type="dxa"/>
            <w:shd w:val="clear" w:color="auto" w:fill="FFFFFF"/>
            <w:vAlign w:val="center"/>
          </w:tcPr>
          <w:p>
            <w:pPr>
              <w:rPr>
                <w:rFonts w:ascii="宋体" w:hAnsi="宋体" w:eastAsia="宋体" w:cs="宋体"/>
                <w:color w:val="000000"/>
                <w:sz w:val="20"/>
                <w:szCs w:val="20"/>
              </w:rPr>
            </w:pPr>
          </w:p>
        </w:tc>
        <w:tc>
          <w:tcPr>
            <w:tcW w:w="3272"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公开06表</w:t>
            </w:r>
          </w:p>
        </w:tc>
      </w:tr>
      <w:tr>
        <w:tblPrEx>
          <w:tblCellMar>
            <w:top w:w="15" w:type="dxa"/>
            <w:left w:w="15" w:type="dxa"/>
            <w:bottom w:w="15" w:type="dxa"/>
            <w:right w:w="15" w:type="dxa"/>
          </w:tblCellMar>
        </w:tblPrEx>
        <w:trPr>
          <w:trHeight w:val="266" w:hRule="atLeast"/>
          <w:jc w:val="center"/>
        </w:trPr>
        <w:tc>
          <w:tcPr>
            <w:tcW w:w="4281" w:type="dxa"/>
            <w:gridSpan w:val="4"/>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kern w:val="0"/>
                <w:sz w:val="20"/>
                <w:szCs w:val="20"/>
              </w:rPr>
              <w:t>部门：沙河市东石岭水库库渠事务中心(本级)</w:t>
            </w:r>
          </w:p>
        </w:tc>
        <w:tc>
          <w:tcPr>
            <w:tcW w:w="1871" w:type="dxa"/>
            <w:shd w:val="clear" w:color="auto" w:fill="auto"/>
            <w:vAlign w:val="center"/>
          </w:tcPr>
          <w:p>
            <w:pPr>
              <w:ind w:firstLine="600" w:firstLineChars="300"/>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721" w:type="dxa"/>
            <w:shd w:val="clear" w:color="auto" w:fill="auto"/>
            <w:vAlign w:val="center"/>
          </w:tcPr>
          <w:p>
            <w:pPr>
              <w:rPr>
                <w:rFonts w:ascii="宋体" w:hAnsi="宋体" w:eastAsia="宋体" w:cs="宋体"/>
                <w:color w:val="000000"/>
                <w:sz w:val="20"/>
                <w:szCs w:val="20"/>
              </w:rPr>
            </w:pPr>
          </w:p>
        </w:tc>
        <w:tc>
          <w:tcPr>
            <w:tcW w:w="615" w:type="dxa"/>
            <w:shd w:val="clear" w:color="auto" w:fill="auto"/>
            <w:vAlign w:val="center"/>
          </w:tcPr>
          <w:p>
            <w:pPr>
              <w:rPr>
                <w:rFonts w:ascii="宋体" w:hAnsi="宋体" w:eastAsia="宋体" w:cs="宋体"/>
                <w:color w:val="000000"/>
                <w:sz w:val="20"/>
                <w:szCs w:val="20"/>
              </w:rPr>
            </w:pPr>
          </w:p>
        </w:tc>
        <w:tc>
          <w:tcPr>
            <w:tcW w:w="3272" w:type="dxa"/>
            <w:gridSpan w:val="2"/>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15" w:type="dxa"/>
            <w:left w:w="15" w:type="dxa"/>
            <w:bottom w:w="15" w:type="dxa"/>
            <w:right w:w="15" w:type="dxa"/>
          </w:tblCellMar>
        </w:tblPrEx>
        <w:trPr>
          <w:trHeight w:val="629"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科目代码</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科目代码</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科目代码</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79.99</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2.12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30.55</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0.48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1.79</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11.92</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15.63</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294"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15"/>
                <w:szCs w:val="15"/>
              </w:rPr>
              <w:t>机关事业单位基本养老保险缴费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7.39</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0.60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3.14</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0.24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3.38</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6.19</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16"/>
                <w:szCs w:val="16"/>
              </w:rPr>
              <w:t xml:space="preserve">  因公出国（境）费用</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7.93</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30217</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7.93</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14" w:leftChars="102"/>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462"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0.42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对民间非营利组织和群众性自治组织补贴</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0.38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经常性赠与</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16"/>
                <w:szCs w:val="16"/>
              </w:rPr>
              <w:t xml:space="preserve"> 公务用车运行维护费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39910</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资本性赠与</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30311</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代缴社会保险费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29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23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16"/>
                <w:szCs w:val="16"/>
              </w:rPr>
              <w:t xml:space="preserve"> 其他商品和服务支出</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43" w:hRule="atLeast"/>
          <w:jc w:val="center"/>
        </w:trPr>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87.91</w:t>
            </w:r>
          </w:p>
        </w:tc>
        <w:tc>
          <w:tcPr>
            <w:tcW w:w="63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sz w:val="22"/>
              </w:rPr>
            </w:pPr>
            <w:r>
              <w:rPr>
                <w:rFonts w:hint="eastAsia" w:cs="Arial"/>
                <w:sz w:val="22"/>
              </w:rPr>
              <w:t>公用经费合计</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2.12</w:t>
            </w:r>
          </w:p>
        </w:tc>
      </w:tr>
    </w:tbl>
    <w:p>
      <w:pPr>
        <w:sectPr>
          <w:pgSz w:w="11906" w:h="16838"/>
          <w:pgMar w:top="1474" w:right="1474" w:bottom="1474" w:left="1474" w:header="851" w:footer="992" w:gutter="0"/>
          <w:cols w:space="0" w:num="1"/>
          <w:docGrid w:type="lines" w:linePitch="312" w:charSpace="0"/>
        </w:sectPr>
      </w:pPr>
      <w:r>
        <w:rPr>
          <w:rFonts w:hint="eastAsia" w:ascii="宋体" w:hAnsi="宋体" w:cs="宋体"/>
          <w:color w:val="000000"/>
          <w:kern w:val="0"/>
          <w:sz w:val="24"/>
          <w:szCs w:val="24"/>
        </w:rPr>
        <w:t>注：本表反映部门本年度一般公共预算财政拨款基本支出明细情况。</w:t>
      </w:r>
    </w:p>
    <w:tbl>
      <w:tblPr>
        <w:tblStyle w:val="6"/>
        <w:tblW w:w="10350" w:type="dxa"/>
        <w:jc w:val="center"/>
        <w:tblLayout w:type="fixed"/>
        <w:tblCellMar>
          <w:top w:w="15" w:type="dxa"/>
          <w:left w:w="15" w:type="dxa"/>
          <w:bottom w:w="15" w:type="dxa"/>
          <w:right w:w="15" w:type="dxa"/>
        </w:tblCellMar>
      </w:tblPr>
      <w:tblGrid>
        <w:gridCol w:w="555"/>
        <w:gridCol w:w="1080"/>
        <w:gridCol w:w="1321"/>
        <w:gridCol w:w="1996"/>
        <w:gridCol w:w="1080"/>
        <w:gridCol w:w="1080"/>
        <w:gridCol w:w="1080"/>
        <w:gridCol w:w="1081"/>
        <w:gridCol w:w="1077"/>
      </w:tblGrid>
      <w:tr>
        <w:tblPrEx>
          <w:tblCellMar>
            <w:top w:w="15" w:type="dxa"/>
            <w:left w:w="15" w:type="dxa"/>
            <w:bottom w:w="15" w:type="dxa"/>
            <w:right w:w="15" w:type="dxa"/>
          </w:tblCellMar>
        </w:tblPrEx>
        <w:trPr>
          <w:trHeight w:val="600" w:hRule="atLeast"/>
          <w:jc w:val="center"/>
        </w:trPr>
        <w:tc>
          <w:tcPr>
            <w:tcW w:w="10350" w:type="dxa"/>
            <w:gridSpan w:val="9"/>
            <w:shd w:val="clear" w:color="auto" w:fill="FFFFFF"/>
            <w:vAlign w:val="center"/>
          </w:tcPr>
          <w:p>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rPr>
              <w:t>政府性基金预算财政拨款收入支出决算表</w:t>
            </w:r>
          </w:p>
        </w:tc>
      </w:tr>
      <w:tr>
        <w:tblPrEx>
          <w:tblCellMar>
            <w:top w:w="15" w:type="dxa"/>
            <w:left w:w="15" w:type="dxa"/>
            <w:bottom w:w="15" w:type="dxa"/>
            <w:right w:w="15" w:type="dxa"/>
          </w:tblCellMar>
        </w:tblPrEx>
        <w:trPr>
          <w:trHeight w:val="211" w:hRule="atLeast"/>
          <w:jc w:val="center"/>
        </w:trPr>
        <w:tc>
          <w:tcPr>
            <w:tcW w:w="555"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center"/>
              <w:rPr>
                <w:rFonts w:ascii="宋体" w:hAnsi="宋体" w:eastAsia="宋体" w:cs="宋体"/>
                <w:color w:val="000000"/>
                <w:sz w:val="20"/>
                <w:szCs w:val="20"/>
              </w:rPr>
            </w:pPr>
          </w:p>
        </w:tc>
        <w:tc>
          <w:tcPr>
            <w:tcW w:w="1321" w:type="dxa"/>
            <w:shd w:val="clear" w:color="auto" w:fill="FFFFFF"/>
            <w:vAlign w:val="center"/>
          </w:tcPr>
          <w:p>
            <w:pPr>
              <w:jc w:val="center"/>
              <w:rPr>
                <w:rFonts w:ascii="宋体" w:hAnsi="宋体" w:eastAsia="宋体" w:cs="宋体"/>
                <w:color w:val="000000"/>
                <w:sz w:val="20"/>
                <w:szCs w:val="20"/>
              </w:rPr>
            </w:pPr>
          </w:p>
        </w:tc>
        <w:tc>
          <w:tcPr>
            <w:tcW w:w="1996"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1" w:type="dxa"/>
            <w:shd w:val="clear" w:color="auto" w:fill="auto"/>
            <w:vAlign w:val="bottom"/>
          </w:tcPr>
          <w:p>
            <w:pPr>
              <w:rPr>
                <w:rFonts w:ascii="宋体" w:hAnsi="宋体" w:eastAsia="宋体" w:cs="宋体"/>
                <w:color w:val="000000"/>
                <w:sz w:val="24"/>
              </w:rPr>
            </w:pPr>
          </w:p>
        </w:tc>
        <w:tc>
          <w:tcPr>
            <w:tcW w:w="1077"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15" w:type="dxa"/>
            <w:left w:w="15" w:type="dxa"/>
            <w:bottom w:w="15" w:type="dxa"/>
            <w:right w:w="15" w:type="dxa"/>
          </w:tblCellMar>
        </w:tblPrEx>
        <w:trPr>
          <w:trHeight w:val="301" w:hRule="atLeast"/>
          <w:jc w:val="center"/>
        </w:trPr>
        <w:tc>
          <w:tcPr>
            <w:tcW w:w="555"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4397" w:type="dxa"/>
            <w:gridSpan w:val="3"/>
            <w:shd w:val="clear" w:color="auto" w:fill="FFFFFF"/>
          </w:tcPr>
          <w:p>
            <w:r>
              <w:rPr>
                <w:rFonts w:hint="eastAsia" w:ascii="宋体" w:hAnsi="宋体" w:eastAsia="宋体" w:cs="宋体"/>
                <w:color w:val="000000"/>
                <w:kern w:val="0"/>
                <w:sz w:val="20"/>
                <w:szCs w:val="20"/>
              </w:rPr>
              <w:t>沙河市东石岭水库库渠事务中心(本级)</w:t>
            </w:r>
          </w:p>
        </w:tc>
        <w:tc>
          <w:tcPr>
            <w:tcW w:w="1080" w:type="dxa"/>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1080" w:type="dxa"/>
            <w:shd w:val="clear" w:color="auto" w:fill="FFFFFF"/>
            <w:vAlign w:val="center"/>
          </w:tcPr>
          <w:p>
            <w:pPr>
              <w:rPr>
                <w:rFonts w:ascii="宋体" w:hAnsi="宋体" w:eastAsia="宋体" w:cs="宋体"/>
                <w:color w:val="000000"/>
                <w:sz w:val="20"/>
                <w:szCs w:val="20"/>
              </w:rPr>
            </w:pPr>
          </w:p>
        </w:tc>
        <w:tc>
          <w:tcPr>
            <w:tcW w:w="1080" w:type="dxa"/>
            <w:shd w:val="clear" w:color="auto" w:fill="FFFFFF"/>
            <w:vAlign w:val="center"/>
          </w:tcPr>
          <w:p>
            <w:pPr>
              <w:rPr>
                <w:rFonts w:ascii="宋体" w:hAnsi="宋体" w:eastAsia="宋体" w:cs="宋体"/>
                <w:color w:val="000000"/>
                <w:sz w:val="20"/>
                <w:szCs w:val="20"/>
              </w:rPr>
            </w:pPr>
          </w:p>
        </w:tc>
        <w:tc>
          <w:tcPr>
            <w:tcW w:w="1081" w:type="dxa"/>
            <w:shd w:val="clear" w:color="auto" w:fill="FFFFFF"/>
            <w:vAlign w:val="center"/>
          </w:tcPr>
          <w:p>
            <w:pPr>
              <w:rPr>
                <w:rFonts w:ascii="宋体" w:hAnsi="宋体" w:eastAsia="宋体" w:cs="宋体"/>
                <w:color w:val="000000"/>
                <w:sz w:val="20"/>
                <w:szCs w:val="20"/>
              </w:rPr>
            </w:pPr>
          </w:p>
        </w:tc>
        <w:tc>
          <w:tcPr>
            <w:tcW w:w="1077"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15" w:type="dxa"/>
            <w:left w:w="15" w:type="dxa"/>
            <w:bottom w:w="15" w:type="dxa"/>
            <w:right w:w="15" w:type="dxa"/>
          </w:tblCellMar>
        </w:tblPrEx>
        <w:trPr>
          <w:trHeight w:val="405" w:hRule="atLeast"/>
          <w:jc w:val="center"/>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 xml:space="preserve">项 </w:t>
            </w:r>
            <w:r>
              <w:rPr>
                <w:rFonts w:hint="eastAsia" w:ascii="宋体" w:hAnsi="宋体" w:eastAsia="宋体" w:cs="宋体"/>
                <w:b/>
                <w:bCs/>
                <w:color w:val="000000"/>
                <w:kern w:val="0"/>
                <w:sz w:val="22"/>
              </w:rPr>
              <w:t xml:space="preserve">   </w:t>
            </w:r>
            <w:r>
              <w:rPr>
                <w:rStyle w:val="16"/>
                <w:rFonts w:hint="default"/>
                <w:b/>
                <w:bCs/>
              </w:rPr>
              <w:t>目</w:t>
            </w:r>
          </w:p>
        </w:tc>
        <w:tc>
          <w:tcPr>
            <w:tcW w:w="1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年初结转和结余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本年收入</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本年支出</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年末结转和结余</w:t>
            </w:r>
          </w:p>
        </w:tc>
      </w:tr>
      <w:tr>
        <w:tblPrEx>
          <w:tblCellMar>
            <w:top w:w="15" w:type="dxa"/>
            <w:left w:w="15" w:type="dxa"/>
            <w:bottom w:w="15" w:type="dxa"/>
            <w:right w:w="15" w:type="dxa"/>
          </w:tblCellMar>
        </w:tblPrEx>
        <w:trPr>
          <w:trHeight w:val="540" w:hRule="atLeast"/>
          <w:jc w:val="center"/>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科目代码</w:t>
            </w: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科目名称</w:t>
            </w: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小计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 xml:space="preserve">基本支出  </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项目支出</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r>
      <w:tr>
        <w:tblPrEx>
          <w:tblCellMar>
            <w:top w:w="15" w:type="dxa"/>
            <w:left w:w="15" w:type="dxa"/>
            <w:bottom w:w="15" w:type="dxa"/>
            <w:right w:w="15" w:type="dxa"/>
          </w:tblCellMar>
        </w:tblPrEx>
        <w:trPr>
          <w:trHeight w:val="360" w:hRule="atLeast"/>
          <w:jc w:val="center"/>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4</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6</w:t>
            </w:r>
          </w:p>
        </w:tc>
      </w:tr>
      <w:tr>
        <w:tblPrEx>
          <w:tblCellMar>
            <w:top w:w="15" w:type="dxa"/>
            <w:left w:w="15" w:type="dxa"/>
            <w:bottom w:w="15" w:type="dxa"/>
            <w:right w:w="15" w:type="dxa"/>
          </w:tblCellMar>
        </w:tblPrEx>
        <w:trPr>
          <w:trHeight w:val="450" w:hRule="atLeast"/>
          <w:jc w:val="center"/>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645" w:hRule="atLeast"/>
          <w:jc w:val="center"/>
        </w:trPr>
        <w:tc>
          <w:tcPr>
            <w:tcW w:w="10350" w:type="dxa"/>
            <w:gridSpan w:val="9"/>
            <w:shd w:val="clear" w:color="auto" w:fill="auto"/>
            <w:vAlign w:val="center"/>
          </w:tcPr>
          <w:p>
            <w:pPr>
              <w:rPr>
                <w:rFonts w:ascii="宋体" w:hAnsi="宋体" w:eastAsia="宋体" w:cs="宋体"/>
                <w:color w:val="000000"/>
                <w:sz w:val="24"/>
              </w:rPr>
            </w:pPr>
            <w:r>
              <w:rPr>
                <w:rFonts w:hint="eastAsia" w:ascii="宋体" w:hAnsi="宋体" w:eastAsia="宋体" w:cs="宋体"/>
                <w:color w:val="000000"/>
                <w:kern w:val="0"/>
                <w:sz w:val="24"/>
                <w:szCs w:val="24"/>
              </w:rPr>
              <w:t>注：我单位本年度无政府性基金预算财政拨款收入、支出情况，空表列示。</w:t>
            </w:r>
          </w:p>
        </w:tc>
      </w:tr>
    </w:tbl>
    <w:p>
      <w:pPr>
        <w:sectPr>
          <w:pgSz w:w="11906" w:h="16838"/>
          <w:pgMar w:top="1474" w:right="1474" w:bottom="1474" w:left="1474" w:header="851" w:footer="992" w:gutter="0"/>
          <w:cols w:space="0" w:num="1"/>
          <w:docGrid w:type="lines" w:linePitch="312" w:charSpace="0"/>
        </w:sectPr>
      </w:pPr>
    </w:p>
    <w:tbl>
      <w:tblPr>
        <w:tblStyle w:val="6"/>
        <w:tblW w:w="10422" w:type="dxa"/>
        <w:jc w:val="center"/>
        <w:tblLayout w:type="fixed"/>
        <w:tblCellMar>
          <w:top w:w="15" w:type="dxa"/>
          <w:left w:w="15" w:type="dxa"/>
          <w:bottom w:w="15" w:type="dxa"/>
          <w:right w:w="15" w:type="dxa"/>
        </w:tblCellMar>
      </w:tblPr>
      <w:tblGrid>
        <w:gridCol w:w="1016"/>
        <w:gridCol w:w="176"/>
        <w:gridCol w:w="819"/>
        <w:gridCol w:w="1056"/>
        <w:gridCol w:w="2419"/>
        <w:gridCol w:w="762"/>
        <w:gridCol w:w="1036"/>
        <w:gridCol w:w="977"/>
        <w:gridCol w:w="2161"/>
      </w:tblGrid>
      <w:tr>
        <w:tblPrEx>
          <w:tblCellMar>
            <w:top w:w="15" w:type="dxa"/>
            <w:left w:w="15" w:type="dxa"/>
            <w:bottom w:w="15" w:type="dxa"/>
            <w:right w:w="15" w:type="dxa"/>
          </w:tblCellMar>
        </w:tblPrEx>
        <w:trPr>
          <w:trHeight w:val="720" w:hRule="atLeast"/>
          <w:jc w:val="center"/>
        </w:trPr>
        <w:tc>
          <w:tcPr>
            <w:tcW w:w="10422" w:type="dxa"/>
            <w:gridSpan w:val="9"/>
            <w:shd w:val="clear" w:color="auto" w:fill="FFFFFF"/>
            <w:vAlign w:val="center"/>
          </w:tcPr>
          <w:p>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rPr>
              <w:t>国有资本经营预算财政拨款支出决算表</w:t>
            </w:r>
          </w:p>
        </w:tc>
      </w:tr>
      <w:tr>
        <w:tblPrEx>
          <w:tblCellMar>
            <w:top w:w="15" w:type="dxa"/>
            <w:left w:w="15" w:type="dxa"/>
            <w:bottom w:w="15" w:type="dxa"/>
            <w:right w:w="15" w:type="dxa"/>
          </w:tblCellMar>
        </w:tblPrEx>
        <w:trPr>
          <w:trHeight w:val="286" w:hRule="atLeast"/>
          <w:jc w:val="center"/>
        </w:trPr>
        <w:tc>
          <w:tcPr>
            <w:tcW w:w="1016" w:type="dxa"/>
            <w:shd w:val="clear" w:color="auto" w:fill="FFFFFF"/>
            <w:vAlign w:val="center"/>
          </w:tcPr>
          <w:p>
            <w:pPr>
              <w:jc w:val="center"/>
              <w:rPr>
                <w:rFonts w:ascii="宋体" w:hAnsi="宋体" w:eastAsia="宋体" w:cs="宋体"/>
                <w:color w:val="000000"/>
                <w:sz w:val="20"/>
                <w:szCs w:val="20"/>
              </w:rPr>
            </w:pPr>
          </w:p>
        </w:tc>
        <w:tc>
          <w:tcPr>
            <w:tcW w:w="995" w:type="dxa"/>
            <w:gridSpan w:val="2"/>
            <w:shd w:val="clear" w:color="auto" w:fill="FFFFFF"/>
            <w:vAlign w:val="center"/>
          </w:tcPr>
          <w:p>
            <w:pPr>
              <w:jc w:val="center"/>
              <w:rPr>
                <w:rFonts w:ascii="宋体" w:hAnsi="宋体" w:eastAsia="宋体" w:cs="宋体"/>
                <w:color w:val="000000"/>
                <w:sz w:val="20"/>
                <w:szCs w:val="20"/>
              </w:rPr>
            </w:pPr>
          </w:p>
        </w:tc>
        <w:tc>
          <w:tcPr>
            <w:tcW w:w="1056" w:type="dxa"/>
            <w:shd w:val="clear" w:color="auto" w:fill="FFFFFF"/>
            <w:vAlign w:val="center"/>
          </w:tcPr>
          <w:p>
            <w:pPr>
              <w:jc w:val="center"/>
              <w:rPr>
                <w:rFonts w:ascii="宋体" w:hAnsi="宋体" w:eastAsia="宋体" w:cs="宋体"/>
                <w:color w:val="000000"/>
                <w:sz w:val="20"/>
                <w:szCs w:val="20"/>
              </w:rPr>
            </w:pPr>
          </w:p>
        </w:tc>
        <w:tc>
          <w:tcPr>
            <w:tcW w:w="3181" w:type="dxa"/>
            <w:gridSpan w:val="2"/>
            <w:shd w:val="clear" w:color="auto" w:fill="FFFFFF"/>
            <w:vAlign w:val="center"/>
          </w:tcPr>
          <w:p>
            <w:pPr>
              <w:rPr>
                <w:rFonts w:ascii="宋体" w:hAnsi="宋体" w:eastAsia="宋体" w:cs="宋体"/>
                <w:color w:val="000000"/>
                <w:sz w:val="20"/>
                <w:szCs w:val="20"/>
              </w:rPr>
            </w:pPr>
          </w:p>
        </w:tc>
        <w:tc>
          <w:tcPr>
            <w:tcW w:w="1036" w:type="dxa"/>
            <w:shd w:val="clear" w:color="auto" w:fill="FFFFFF"/>
            <w:vAlign w:val="center"/>
          </w:tcPr>
          <w:p>
            <w:pPr>
              <w:rPr>
                <w:rFonts w:ascii="宋体" w:hAnsi="宋体" w:eastAsia="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15" w:type="dxa"/>
            <w:left w:w="15" w:type="dxa"/>
            <w:bottom w:w="15" w:type="dxa"/>
            <w:right w:w="15" w:type="dxa"/>
          </w:tblCellMar>
        </w:tblPrEx>
        <w:trPr>
          <w:trHeight w:val="286" w:hRule="atLeast"/>
          <w:jc w:val="center"/>
        </w:trPr>
        <w:tc>
          <w:tcPr>
            <w:tcW w:w="1016"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995" w:type="dxa"/>
            <w:gridSpan w:val="2"/>
            <w:shd w:val="clear" w:color="auto" w:fill="FFFFFF"/>
            <w:vAlign w:val="center"/>
          </w:tcPr>
          <w:p>
            <w:pPr>
              <w:jc w:val="center"/>
              <w:rPr>
                <w:rFonts w:ascii="宋体" w:hAnsi="宋体" w:eastAsia="宋体" w:cs="宋体"/>
                <w:color w:val="000000"/>
                <w:sz w:val="20"/>
                <w:szCs w:val="20"/>
              </w:rPr>
            </w:pPr>
          </w:p>
        </w:tc>
        <w:tc>
          <w:tcPr>
            <w:tcW w:w="1056" w:type="dxa"/>
            <w:shd w:val="clear" w:color="auto" w:fill="FFFFFF"/>
            <w:vAlign w:val="center"/>
          </w:tcPr>
          <w:p>
            <w:pPr>
              <w:jc w:val="center"/>
              <w:rPr>
                <w:rFonts w:ascii="宋体" w:hAnsi="宋体" w:eastAsia="宋体" w:cs="宋体"/>
                <w:color w:val="000000"/>
                <w:sz w:val="20"/>
                <w:szCs w:val="20"/>
              </w:rPr>
            </w:pPr>
          </w:p>
        </w:tc>
        <w:tc>
          <w:tcPr>
            <w:tcW w:w="3181" w:type="dxa"/>
            <w:gridSpan w:val="2"/>
            <w:shd w:val="clear" w:color="auto" w:fill="FFFFFF"/>
            <w:vAlign w:val="center"/>
          </w:tcPr>
          <w:p>
            <w:pPr>
              <w:ind w:firstLine="1800" w:firstLineChars="900"/>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1036" w:type="dxa"/>
            <w:shd w:val="clear" w:color="auto" w:fill="FFFFFF"/>
            <w:vAlign w:val="center"/>
          </w:tcPr>
          <w:p>
            <w:pPr>
              <w:rPr>
                <w:rFonts w:ascii="宋体" w:hAnsi="宋体" w:eastAsia="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15" w:type="dxa"/>
            <w:left w:w="15" w:type="dxa"/>
            <w:bottom w:w="15" w:type="dxa"/>
            <w:right w:w="15" w:type="dxa"/>
          </w:tblCellMar>
        </w:tblPrEx>
        <w:trPr>
          <w:trHeight w:val="390" w:hRule="atLeast"/>
          <w:jc w:val="center"/>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 xml:space="preserve">项 </w:t>
            </w:r>
            <w:r>
              <w:rPr>
                <w:rFonts w:hint="eastAsia" w:ascii="宋体" w:hAnsi="宋体" w:eastAsia="宋体" w:cs="宋体"/>
                <w:b/>
                <w:bCs/>
                <w:color w:val="000000"/>
                <w:kern w:val="0"/>
                <w:sz w:val="22"/>
              </w:rPr>
              <w:t xml:space="preserve">   </w:t>
            </w:r>
            <w:r>
              <w:rPr>
                <w:rFonts w:hint="eastAsia" w:ascii="宋体" w:hAnsi="宋体" w:eastAsia="宋体" w:cs="宋体"/>
                <w:b/>
                <w:bCs/>
                <w:color w:val="000000"/>
                <w:kern w:val="0"/>
                <w:sz w:val="24"/>
                <w:szCs w:val="24"/>
              </w:rPr>
              <w:t>目</w:t>
            </w:r>
          </w:p>
        </w:tc>
        <w:tc>
          <w:tcPr>
            <w:tcW w:w="73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本年支出</w:t>
            </w:r>
          </w:p>
        </w:tc>
      </w:tr>
      <w:tr>
        <w:tblPrEx>
          <w:tblCellMar>
            <w:top w:w="15" w:type="dxa"/>
            <w:left w:w="15" w:type="dxa"/>
            <w:bottom w:w="15" w:type="dxa"/>
            <w:right w:w="15" w:type="dxa"/>
          </w:tblCellMar>
        </w:tblPrEx>
        <w:trPr>
          <w:trHeight w:val="390" w:hRule="atLeast"/>
          <w:jc w:val="center"/>
        </w:trPr>
        <w:tc>
          <w:tcPr>
            <w:tcW w:w="11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科目代码</w:t>
            </w:r>
          </w:p>
        </w:tc>
        <w:tc>
          <w:tcPr>
            <w:tcW w:w="18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科目名称</w:t>
            </w:r>
          </w:p>
        </w:tc>
        <w:tc>
          <w:tcPr>
            <w:tcW w:w="2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合计</w:t>
            </w:r>
          </w:p>
        </w:tc>
        <w:tc>
          <w:tcPr>
            <w:tcW w:w="27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 xml:space="preserve">基本支出  </w:t>
            </w:r>
          </w:p>
        </w:tc>
        <w:tc>
          <w:tcPr>
            <w:tcW w:w="2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项目支出</w:t>
            </w:r>
          </w:p>
        </w:tc>
      </w:tr>
      <w:tr>
        <w:tblPrEx>
          <w:tblCellMar>
            <w:top w:w="15" w:type="dxa"/>
            <w:left w:w="15" w:type="dxa"/>
            <w:bottom w:w="15" w:type="dxa"/>
            <w:right w:w="15" w:type="dxa"/>
          </w:tblCellMar>
        </w:tblPrEx>
        <w:trPr>
          <w:trHeight w:val="390" w:hRule="atLeast"/>
          <w:jc w:val="center"/>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12" w:hRule="atLeast"/>
          <w:jc w:val="center"/>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r>
      <w:tr>
        <w:tblPrEx>
          <w:tblCellMar>
            <w:top w:w="15" w:type="dxa"/>
            <w:left w:w="15" w:type="dxa"/>
            <w:bottom w:w="15" w:type="dxa"/>
            <w:right w:w="15" w:type="dxa"/>
          </w:tblCellMar>
        </w:tblPrEx>
        <w:trPr>
          <w:trHeight w:val="390" w:hRule="atLeast"/>
          <w:jc w:val="center"/>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720" w:hRule="atLeast"/>
          <w:jc w:val="center"/>
        </w:trPr>
        <w:tc>
          <w:tcPr>
            <w:tcW w:w="10422" w:type="dxa"/>
            <w:gridSpan w:val="9"/>
            <w:shd w:val="clear" w:color="auto" w:fill="auto"/>
            <w:vAlign w:val="center"/>
          </w:tcPr>
          <w:p>
            <w:pPr>
              <w:rPr>
                <w:b/>
              </w:rPr>
            </w:pPr>
            <w:r>
              <w:rPr>
                <w:rFonts w:hint="eastAsia" w:ascii="宋体" w:hAnsi="宋体" w:eastAsia="宋体" w:cs="宋体"/>
                <w:color w:val="000000"/>
                <w:kern w:val="0"/>
                <w:sz w:val="24"/>
                <w:szCs w:val="24"/>
              </w:rPr>
              <w:t>注：我单位本年度无国有资本经营预算财政拨款支出情况，空表列示。</w:t>
            </w:r>
          </w:p>
          <w:p>
            <w:pPr>
              <w:widowControl/>
              <w:jc w:val="left"/>
              <w:textAlignment w:val="center"/>
              <w:rPr>
                <w:rFonts w:ascii="宋体" w:hAnsi="宋体" w:eastAsia="宋体" w:cs="宋体"/>
                <w:color w:val="000000"/>
                <w:sz w:val="24"/>
              </w:rPr>
            </w:pPr>
          </w:p>
        </w:tc>
      </w:tr>
    </w:tbl>
    <w:p>
      <w:pPr>
        <w:sectPr>
          <w:pgSz w:w="11906" w:h="16838"/>
          <w:pgMar w:top="1474" w:right="1474" w:bottom="1474" w:left="1474" w:header="851" w:footer="992" w:gutter="0"/>
          <w:cols w:space="0" w:num="1"/>
          <w:docGrid w:type="lines" w:linePitch="312" w:charSpace="0"/>
        </w:sectPr>
      </w:pPr>
    </w:p>
    <w:tbl>
      <w:tblPr>
        <w:tblStyle w:val="6"/>
        <w:tblW w:w="13090" w:type="dxa"/>
        <w:tblInd w:w="-552" w:type="dxa"/>
        <w:tblLayout w:type="fixed"/>
        <w:tblCellMar>
          <w:top w:w="15" w:type="dxa"/>
          <w:left w:w="15" w:type="dxa"/>
          <w:bottom w:w="15" w:type="dxa"/>
          <w:right w:w="15" w:type="dxa"/>
        </w:tblCellMar>
      </w:tblPr>
      <w:tblGrid>
        <w:gridCol w:w="723"/>
        <w:gridCol w:w="468"/>
        <w:gridCol w:w="357"/>
        <w:gridCol w:w="711"/>
        <w:gridCol w:w="77"/>
        <w:gridCol w:w="881"/>
        <w:gridCol w:w="97"/>
        <w:gridCol w:w="803"/>
        <w:gridCol w:w="252"/>
        <w:gridCol w:w="1056"/>
        <w:gridCol w:w="240"/>
        <w:gridCol w:w="740"/>
        <w:gridCol w:w="768"/>
        <w:gridCol w:w="492"/>
        <w:gridCol w:w="165"/>
        <w:gridCol w:w="731"/>
        <w:gridCol w:w="172"/>
        <w:gridCol w:w="803"/>
        <w:gridCol w:w="252"/>
        <w:gridCol w:w="939"/>
        <w:gridCol w:w="116"/>
        <w:gridCol w:w="240"/>
        <w:gridCol w:w="240"/>
        <w:gridCol w:w="1767"/>
      </w:tblGrid>
      <w:tr>
        <w:tblPrEx>
          <w:tblCellMar>
            <w:top w:w="15" w:type="dxa"/>
            <w:left w:w="15" w:type="dxa"/>
            <w:bottom w:w="15" w:type="dxa"/>
            <w:right w:w="15" w:type="dxa"/>
          </w:tblCellMar>
        </w:tblPrEx>
        <w:trPr>
          <w:gridAfter w:val="4"/>
          <w:wAfter w:w="2363" w:type="dxa"/>
          <w:trHeight w:val="600" w:hRule="atLeast"/>
        </w:trPr>
        <w:tc>
          <w:tcPr>
            <w:tcW w:w="10727" w:type="dxa"/>
            <w:gridSpan w:val="20"/>
            <w:shd w:val="clear" w:color="auto" w:fill="FFFFFF"/>
            <w:vAlign w:val="center"/>
          </w:tcPr>
          <w:p>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rPr>
              <w:t>财政拨款“三公”经费支出决算表</w:t>
            </w:r>
          </w:p>
        </w:tc>
      </w:tr>
      <w:tr>
        <w:tblPrEx>
          <w:tblCellMar>
            <w:top w:w="15" w:type="dxa"/>
            <w:left w:w="15" w:type="dxa"/>
            <w:bottom w:w="15" w:type="dxa"/>
            <w:right w:w="15" w:type="dxa"/>
          </w:tblCellMar>
        </w:tblPrEx>
        <w:trPr>
          <w:gridAfter w:val="1"/>
          <w:wAfter w:w="1767" w:type="dxa"/>
          <w:trHeight w:val="211" w:hRule="atLeast"/>
        </w:trPr>
        <w:tc>
          <w:tcPr>
            <w:tcW w:w="1191" w:type="dxa"/>
            <w:gridSpan w:val="2"/>
            <w:shd w:val="clear" w:color="auto" w:fill="auto"/>
            <w:vAlign w:val="center"/>
          </w:tcPr>
          <w:p>
            <w:pPr>
              <w:jc w:val="center"/>
              <w:rPr>
                <w:rFonts w:ascii="宋体" w:hAnsi="宋体" w:eastAsia="宋体" w:cs="宋体"/>
                <w:color w:val="000000"/>
                <w:sz w:val="24"/>
              </w:rPr>
            </w:pPr>
          </w:p>
        </w:tc>
        <w:tc>
          <w:tcPr>
            <w:tcW w:w="1068" w:type="dxa"/>
            <w:gridSpan w:val="2"/>
            <w:shd w:val="clear" w:color="auto" w:fill="auto"/>
            <w:vAlign w:val="center"/>
          </w:tcPr>
          <w:p>
            <w:pPr>
              <w:jc w:val="center"/>
              <w:rPr>
                <w:rFonts w:ascii="宋体" w:hAnsi="宋体" w:eastAsia="宋体" w:cs="宋体"/>
                <w:color w:val="000000"/>
                <w:sz w:val="24"/>
              </w:rPr>
            </w:pPr>
          </w:p>
        </w:tc>
        <w:tc>
          <w:tcPr>
            <w:tcW w:w="1055" w:type="dxa"/>
            <w:gridSpan w:val="3"/>
            <w:shd w:val="clear" w:color="auto" w:fill="auto"/>
            <w:vAlign w:val="center"/>
          </w:tcPr>
          <w:p>
            <w:pPr>
              <w:jc w:val="center"/>
              <w:rPr>
                <w:rFonts w:ascii="宋体" w:hAnsi="宋体" w:eastAsia="宋体" w:cs="宋体"/>
                <w:color w:val="000000"/>
                <w:sz w:val="24"/>
              </w:rPr>
            </w:pPr>
          </w:p>
        </w:tc>
        <w:tc>
          <w:tcPr>
            <w:tcW w:w="1055" w:type="dxa"/>
            <w:gridSpan w:val="2"/>
            <w:shd w:val="clear" w:color="auto" w:fill="auto"/>
            <w:vAlign w:val="center"/>
          </w:tcPr>
          <w:p>
            <w:pPr>
              <w:rPr>
                <w:rFonts w:ascii="宋体" w:hAnsi="宋体" w:eastAsia="宋体" w:cs="宋体"/>
                <w:color w:val="000000"/>
                <w:sz w:val="24"/>
              </w:rPr>
            </w:pPr>
          </w:p>
        </w:tc>
        <w:tc>
          <w:tcPr>
            <w:tcW w:w="1056" w:type="dxa"/>
            <w:shd w:val="clear" w:color="auto" w:fill="auto"/>
            <w:vAlign w:val="center"/>
          </w:tcPr>
          <w:p>
            <w:pPr>
              <w:rPr>
                <w:rFonts w:ascii="宋体" w:hAnsi="宋体" w:eastAsia="宋体" w:cs="宋体"/>
                <w:color w:val="000000"/>
                <w:sz w:val="24"/>
              </w:rPr>
            </w:pPr>
          </w:p>
        </w:tc>
        <w:tc>
          <w:tcPr>
            <w:tcW w:w="240" w:type="dxa"/>
            <w:shd w:val="clear" w:color="auto" w:fill="auto"/>
            <w:vAlign w:val="center"/>
          </w:tcPr>
          <w:p>
            <w:pPr>
              <w:widowControl/>
              <w:jc w:val="right"/>
              <w:textAlignment w:val="center"/>
              <w:rPr>
                <w:rFonts w:ascii="宋体" w:hAnsi="宋体" w:eastAsia="宋体" w:cs="宋体"/>
                <w:color w:val="000000"/>
                <w:sz w:val="24"/>
              </w:rPr>
            </w:pPr>
          </w:p>
        </w:tc>
        <w:tc>
          <w:tcPr>
            <w:tcW w:w="2000" w:type="dxa"/>
            <w:gridSpan w:val="3"/>
            <w:shd w:val="clear" w:color="auto" w:fill="auto"/>
            <w:vAlign w:val="bottom"/>
          </w:tcPr>
          <w:p>
            <w:pPr>
              <w:jc w:val="right"/>
              <w:rPr>
                <w:rFonts w:ascii="宋体" w:hAnsi="宋体" w:eastAsia="宋体" w:cs="宋体"/>
                <w:color w:val="000000"/>
                <w:sz w:val="24"/>
              </w:rPr>
            </w:pPr>
          </w:p>
        </w:tc>
        <w:tc>
          <w:tcPr>
            <w:tcW w:w="1068" w:type="dxa"/>
            <w:gridSpan w:val="3"/>
            <w:shd w:val="clear" w:color="auto" w:fill="auto"/>
            <w:vAlign w:val="bottom"/>
          </w:tcPr>
          <w:p>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055" w:type="dxa"/>
            <w:gridSpan w:val="2"/>
            <w:shd w:val="clear" w:color="auto" w:fill="auto"/>
            <w:vAlign w:val="bottom"/>
          </w:tcPr>
          <w:p>
            <w:pPr>
              <w:jc w:val="right"/>
              <w:rPr>
                <w:rFonts w:ascii="宋体" w:hAnsi="宋体" w:eastAsia="宋体" w:cs="宋体"/>
                <w:color w:val="000000"/>
                <w:sz w:val="24"/>
              </w:rPr>
            </w:pPr>
          </w:p>
        </w:tc>
        <w:tc>
          <w:tcPr>
            <w:tcW w:w="1055" w:type="dxa"/>
            <w:gridSpan w:val="2"/>
            <w:shd w:val="clear" w:color="auto" w:fill="auto"/>
            <w:vAlign w:val="bottom"/>
          </w:tcPr>
          <w:p>
            <w:pPr>
              <w:jc w:val="left"/>
              <w:rPr>
                <w:rFonts w:ascii="宋体" w:hAnsi="宋体" w:eastAsia="宋体" w:cs="宋体"/>
                <w:color w:val="000000"/>
                <w:sz w:val="24"/>
              </w:rPr>
            </w:pPr>
            <w:r>
              <w:rPr>
                <w:rFonts w:hint="eastAsia" w:ascii="宋体" w:hAnsi="宋体" w:eastAsia="宋体" w:cs="宋体"/>
                <w:color w:val="000000"/>
                <w:szCs w:val="21"/>
              </w:rPr>
              <w:t>公开09表</w:t>
            </w:r>
          </w:p>
        </w:tc>
        <w:tc>
          <w:tcPr>
            <w:tcW w:w="240" w:type="dxa"/>
            <w:shd w:val="clear" w:color="auto" w:fill="auto"/>
            <w:vAlign w:val="bottom"/>
          </w:tcPr>
          <w:p>
            <w:pPr>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1767" w:type="dxa"/>
          <w:trHeight w:val="301" w:hRule="atLeast"/>
        </w:trPr>
        <w:tc>
          <w:tcPr>
            <w:tcW w:w="1191" w:type="dxa"/>
            <w:gridSpan w:val="2"/>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1068" w:type="dxa"/>
            <w:gridSpan w:val="2"/>
            <w:shd w:val="clear" w:color="auto" w:fill="FFFFFF"/>
            <w:vAlign w:val="center"/>
          </w:tcPr>
          <w:p>
            <w:pPr>
              <w:jc w:val="center"/>
              <w:rPr>
                <w:rFonts w:ascii="宋体" w:hAnsi="宋体" w:eastAsia="宋体" w:cs="宋体"/>
                <w:color w:val="000000"/>
                <w:sz w:val="20"/>
                <w:szCs w:val="20"/>
              </w:rPr>
            </w:pPr>
          </w:p>
        </w:tc>
        <w:tc>
          <w:tcPr>
            <w:tcW w:w="1055" w:type="dxa"/>
            <w:gridSpan w:val="3"/>
            <w:shd w:val="clear" w:color="auto" w:fill="FFFFFF"/>
            <w:vAlign w:val="center"/>
          </w:tcPr>
          <w:p>
            <w:pPr>
              <w:jc w:val="center"/>
              <w:rPr>
                <w:rFonts w:ascii="宋体" w:hAnsi="宋体" w:eastAsia="宋体" w:cs="宋体"/>
                <w:color w:val="000000"/>
                <w:sz w:val="20"/>
                <w:szCs w:val="20"/>
              </w:rPr>
            </w:pPr>
          </w:p>
        </w:tc>
        <w:tc>
          <w:tcPr>
            <w:tcW w:w="1055" w:type="dxa"/>
            <w:gridSpan w:val="2"/>
            <w:shd w:val="clear" w:color="auto" w:fill="FFFFFF"/>
            <w:vAlign w:val="center"/>
          </w:tcPr>
          <w:p>
            <w:pPr>
              <w:jc w:val="right"/>
              <w:rPr>
                <w:rFonts w:ascii="宋体" w:hAnsi="宋体" w:eastAsia="宋体" w:cs="宋体"/>
                <w:color w:val="000000"/>
                <w:sz w:val="20"/>
                <w:szCs w:val="20"/>
              </w:rPr>
            </w:pPr>
          </w:p>
        </w:tc>
        <w:tc>
          <w:tcPr>
            <w:tcW w:w="1056" w:type="dxa"/>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240" w:type="dxa"/>
            <w:shd w:val="clear" w:color="auto" w:fill="FFFFFF"/>
            <w:vAlign w:val="center"/>
          </w:tcPr>
          <w:p>
            <w:pPr>
              <w:widowControl/>
              <w:ind w:right="-5048" w:rightChars="-2404"/>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c>
          <w:tcPr>
            <w:tcW w:w="5418" w:type="dxa"/>
            <w:gridSpan w:val="11"/>
            <w:shd w:val="clear" w:color="auto" w:fill="FFFFFF"/>
            <w:vAlign w:val="center"/>
          </w:tcPr>
          <w:p>
            <w:pPr>
              <w:widowControl/>
              <w:tabs>
                <w:tab w:val="left" w:pos="630"/>
                <w:tab w:val="left" w:pos="5250"/>
              </w:tabs>
              <w:ind w:right="346" w:rightChars="165"/>
              <w:jc w:val="left"/>
              <w:rPr>
                <w:rFonts w:ascii="宋体" w:hAnsi="宋体" w:eastAsia="宋体" w:cs="宋体"/>
                <w:color w:val="000000"/>
                <w:sz w:val="20"/>
                <w:szCs w:val="20"/>
              </w:rPr>
            </w:pPr>
            <w:r>
              <w:rPr>
                <w:rFonts w:hint="eastAsia" w:ascii="宋体" w:hAnsi="宋体" w:eastAsia="宋体" w:cs="宋体"/>
                <w:color w:val="000000"/>
                <w:sz w:val="20"/>
                <w:szCs w:val="20"/>
              </w:rPr>
              <w:t xml:space="preserve">                                        </w:t>
            </w:r>
            <w:r>
              <w:rPr>
                <w:rFonts w:hint="eastAsia" w:ascii="宋体" w:hAnsi="宋体" w:eastAsia="宋体" w:cs="宋体"/>
                <w:color w:val="000000"/>
                <w:kern w:val="0"/>
                <w:sz w:val="20"/>
                <w:szCs w:val="20"/>
              </w:rPr>
              <w:t>单位：万元</w:t>
            </w: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4"/>
          <w:wAfter w:w="2363" w:type="dxa"/>
          <w:trHeight w:val="555" w:hRule="atLeast"/>
        </w:trPr>
        <w:tc>
          <w:tcPr>
            <w:tcW w:w="56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c>
          <w:tcPr>
            <w:tcW w:w="50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15" w:type="dxa"/>
            <w:left w:w="15" w:type="dxa"/>
            <w:bottom w:w="15" w:type="dxa"/>
            <w:right w:w="15" w:type="dxa"/>
          </w:tblCellMar>
        </w:tblPrEx>
        <w:trPr>
          <w:gridAfter w:val="4"/>
          <w:wAfter w:w="2363" w:type="dxa"/>
          <w:trHeight w:val="600"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合计</w:t>
            </w:r>
          </w:p>
        </w:tc>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因公出国（境）费</w:t>
            </w:r>
          </w:p>
        </w:tc>
        <w:tc>
          <w:tcPr>
            <w:tcW w:w="25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公务用车购置及运行维护费</w:t>
            </w:r>
          </w:p>
        </w:tc>
        <w:tc>
          <w:tcPr>
            <w:tcW w:w="15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公务接待费</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合计</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因公出国（境）费</w:t>
            </w:r>
          </w:p>
        </w:tc>
        <w:tc>
          <w:tcPr>
            <w:tcW w:w="2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公务用车购置及运行维护费</w:t>
            </w:r>
          </w:p>
        </w:tc>
        <w:tc>
          <w:tcPr>
            <w:tcW w:w="11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公务接待费</w:t>
            </w:r>
          </w:p>
        </w:tc>
      </w:tr>
      <w:tr>
        <w:tblPrEx>
          <w:tblCellMar>
            <w:top w:w="15" w:type="dxa"/>
            <w:left w:w="15" w:type="dxa"/>
            <w:bottom w:w="15" w:type="dxa"/>
            <w:right w:w="15" w:type="dxa"/>
          </w:tblCellMar>
        </w:tblPrEx>
        <w:trPr>
          <w:gridAfter w:val="4"/>
          <w:wAfter w:w="2363" w:type="dxa"/>
          <w:trHeight w:val="6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小计</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公务用车购置费</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公务用车运行维护费</w:t>
            </w:r>
          </w:p>
        </w:tc>
        <w:tc>
          <w:tcPr>
            <w:tcW w:w="15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公务用车购置费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kern w:val="0"/>
                <w:sz w:val="22"/>
              </w:rPr>
            </w:pPr>
            <w:r>
              <w:rPr>
                <w:rFonts w:hint="eastAsia" w:ascii="宋体" w:hAnsi="宋体" w:eastAsia="宋体" w:cs="宋体"/>
                <w:b/>
                <w:bCs/>
                <w:color w:val="000000"/>
                <w:kern w:val="0"/>
                <w:sz w:val="22"/>
              </w:rPr>
              <w:t>公务用车</w:t>
            </w:r>
          </w:p>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运行维护费</w:t>
            </w:r>
          </w:p>
        </w:tc>
        <w:tc>
          <w:tcPr>
            <w:tcW w:w="11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r>
      <w:tr>
        <w:tblPrEx>
          <w:tblCellMar>
            <w:top w:w="15" w:type="dxa"/>
            <w:left w:w="15" w:type="dxa"/>
            <w:bottom w:w="15" w:type="dxa"/>
            <w:right w:w="15" w:type="dxa"/>
          </w:tblCellMar>
        </w:tblPrEx>
        <w:trPr>
          <w:gridAfter w:val="4"/>
          <w:wAfter w:w="2363" w:type="dxa"/>
          <w:trHeight w:val="55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15" w:type="dxa"/>
            <w:left w:w="15" w:type="dxa"/>
            <w:bottom w:w="15" w:type="dxa"/>
            <w:right w:w="15" w:type="dxa"/>
          </w:tblCellMar>
        </w:tblPrEx>
        <w:trPr>
          <w:gridAfter w:val="4"/>
          <w:wAfter w:w="2363" w:type="dxa"/>
          <w:trHeight w:val="427"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900" w:hRule="atLeast"/>
        </w:trPr>
        <w:tc>
          <w:tcPr>
            <w:tcW w:w="13090" w:type="dxa"/>
            <w:gridSpan w:val="24"/>
            <w:shd w:val="clear" w:color="auto" w:fill="auto"/>
            <w:vAlign w:val="center"/>
          </w:tcPr>
          <w:p>
            <w:pPr>
              <w:widowControl/>
              <w:ind w:right="2339" w:rightChars="1114"/>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注：我单位本年度无财政拨款“三公”经费支出预决算情况，空表列示。</w:t>
            </w:r>
          </w:p>
        </w:tc>
      </w:tr>
    </w:tbl>
    <w:p>
      <w:pPr>
        <w:widowControl/>
        <w:spacing w:after="160" w:line="580" w:lineRule="exact"/>
        <w:ind w:firstLine="2275" w:firstLineChars="316"/>
        <w:rPr>
          <w:rFonts w:eastAsia="黑体"/>
          <w:sz w:val="32"/>
          <w:szCs w:val="32"/>
        </w:rPr>
      </w:pPr>
      <w:r>
        <w:rPr>
          <w:sz w:val="72"/>
        </w:rPr>
        <w:pict>
          <v:shape id="_x0000_s1027" o:spid="_x0000_s1027" o:spt="202" type="#_x0000_t202" style="position:absolute;left:0pt;margin-left:-85.7pt;margin-top:238.15pt;height:173.25pt;width:613.65pt;z-index:251664384;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 xml:space="preserve"> </w:t>
                  </w:r>
                </w:p>
                <w:p>
                  <w:pPr>
                    <w:widowControl/>
                    <w:jc w:val="center"/>
                    <w:rPr>
                      <w:rFonts w:ascii="黑体" w:hAnsi="黑体" w:eastAsia="黑体" w:cs="黑体"/>
                      <w:color w:val="000000" w:themeColor="text1"/>
                      <w:sz w:val="96"/>
                      <w:szCs w:val="96"/>
                    </w:rPr>
                  </w:pPr>
                </w:p>
              </w:txbxContent>
            </v:textbox>
          </v:shape>
        </w:pict>
      </w:r>
    </w:p>
    <w:p>
      <w:pPr>
        <w:widowControl/>
        <w:spacing w:after="160" w:line="580" w:lineRule="exact"/>
        <w:ind w:left="-283" w:leftChars="-135" w:firstLine="1292" w:firstLineChars="404"/>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r>
        <w:rPr>
          <w:rFonts w:hint="eastAsia" w:eastAsia="黑体"/>
          <w:sz w:val="32"/>
          <w:szCs w:val="32"/>
        </w:rPr>
        <w:t xml:space="preserve">     </w:t>
      </w: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ascii="黑体" w:hAnsi="黑体" w:eastAsia="黑体" w:cs="黑体"/>
          <w:color w:val="000000" w:themeColor="text1"/>
          <w:sz w:val="44"/>
          <w:szCs w:val="44"/>
        </w:rPr>
      </w:pPr>
    </w:p>
    <w:p>
      <w:pPr>
        <w:widowControl/>
        <w:jc w:val="center"/>
        <w:rPr>
          <w:rFonts w:ascii="黑体" w:hAnsi="黑体" w:eastAsia="黑体" w:cs="黑体"/>
          <w:color w:val="000000" w:themeColor="text1"/>
          <w:sz w:val="44"/>
          <w:szCs w:val="44"/>
        </w:rPr>
      </w:pPr>
      <w:r>
        <w:rPr>
          <w:rFonts w:hint="eastAsia" w:ascii="黑体" w:hAnsi="黑体" w:eastAsia="黑体" w:cs="黑体"/>
          <w:color w:val="000000" w:themeColor="text1"/>
          <w:sz w:val="44"/>
          <w:szCs w:val="44"/>
        </w:rPr>
        <w:t>第三部分 2023年度部门决算情况说明</w:t>
      </w:r>
    </w:p>
    <w:p>
      <w:pPr>
        <w:rPr>
          <w:rFonts w:ascii="黑体" w:hAnsi="Calibri" w:eastAsia="黑体" w:cs="Times New Roman"/>
          <w:sz w:val="32"/>
          <w:szCs w:val="32"/>
        </w:rPr>
      </w:pPr>
    </w:p>
    <w:p>
      <w:pPr>
        <w:ind w:firstLine="640" w:firstLineChars="200"/>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本部门2023年度收、支总计（含结转和结余）303.69万元。与2022年度决算相比，收支各减少174.97万元，下降36.55%，主要原因是收入方面：水费收入减少；支出方面：项目资金减少。</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二、收入决算情况说明</w:t>
      </w:r>
    </w:p>
    <w:p>
      <w:pPr>
        <w:autoSpaceDE w:val="0"/>
        <w:autoSpaceDN w:val="0"/>
        <w:adjustRightInd w:val="0"/>
        <w:ind w:left="200"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本部门2023年度收入合计303.69万元，其中：财政拨款收入303.69万元，占100%；上级补助收入0万元，占0%；事业收入0万元，占0%；经营收入0万元，占0%；附属单位上缴收入0万元，占0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；其他收入0万元，占0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三、支出决算情况说明</w:t>
      </w:r>
    </w:p>
    <w:p>
      <w:pPr>
        <w:autoSpaceDE w:val="0"/>
        <w:autoSpaceDN w:val="0"/>
        <w:adjustRightInd w:val="0"/>
        <w:ind w:left="200"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本部门2023年度支出合计303.69万元，其中：基本支出90.03万元，占29.65%；项目支出213.65万元，占70.35%；经营支出0万元，占0%；上缴上级支出0万元，占0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；对附属单位补助支出0万元，占0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p>
    <w:p>
      <w:pPr>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（一）财政拨款收支与2022年度决算对比情况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本部门2023年度财政拨款本年收入303.69万元,比2022年度减少174.97万元，降低36.55%，主要是水费收入减少；本年支出303.69万元，减少174.97万元，降低36.55%，主要是项目资金减少。具体情况如下：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1.一般公共预算财政拨款本年收入303.69万元，比上年减少174.97万元；主要是水费收入减少；本年支出303.69万元，比上年减少174.97万元，降低36.55%，主要是项目资金减少。</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2.政府性基金预算财政拨款本年收入0万元，比上年增加0万元，增长0%，本年支出0万元，比上年增加0万元，增长0%。</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3.国有资本经营预算财政拨款本年收入0万元，比上年增加0万元，增长0%，本年支出0万元，比上年增加0万元，增长0%。</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财政拨款本年收入303.69万元，完成年初预算的67%,比年初预算减少149.09万元，决算数小于预算数主要原因是水费收入减少；本年支出303.69万元，完成年初预算的67%,比年初预算减少149.09万元，决算数小于预算数主要原因是项目资金减少。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1.一般公共预算财政拨款本年收入完成年初预算67%，比年初预算减少149.09万元，主要是水费收入减少；支出完成年初预算67%，比年初预算增加减少149.09万元，主要是项目资金减少。</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2.政府性基金预算财政拨款本年收入完成年初预算0%，比年初预算增加（减少）0万元，支出完成年初预算0%，比年初预算增加（减少）0万元。</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3.国有资本经营预算财政拨款本年收入完成年初预算0%，比年初预算增加（减少）0万元；支出完成年初预算0%，比年初预算增加（减少）0万元。</w:t>
      </w:r>
    </w:p>
    <w:p>
      <w:pPr>
        <w:numPr>
          <w:ilvl w:val="0"/>
          <w:numId w:val="2"/>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2023年度财政拨款支出303.69万元，主要用于以下方面：</w:t>
      </w:r>
    </w:p>
    <w:p>
      <w:pPr>
        <w:adjustRightInd w:val="0"/>
        <w:snapToGrid w:val="0"/>
        <w:spacing w:line="580" w:lineRule="exact"/>
        <w:ind w:firstLine="723" w:firstLineChars="200"/>
        <w:rPr>
          <w:rFonts w:ascii="仿宋_GB2312" w:hAnsi="Times New Roman" w:eastAsia="仿宋_GB2312" w:cs="DengXian-Regular"/>
          <w:b/>
          <w:sz w:val="36"/>
          <w:szCs w:val="32"/>
        </w:rPr>
      </w:pPr>
      <w:r>
        <w:rPr>
          <w:rFonts w:hint="eastAsia" w:ascii="仿宋_GB2312" w:hAnsi="Times New Roman" w:eastAsia="仿宋_GB2312" w:cs="Wingdings"/>
          <w:b/>
          <w:sz w:val="36"/>
          <w:szCs w:val="32"/>
        </w:rPr>
        <w:t>社会保障和就业（类）支出7.39万元，占2.43%；卫生健康支出3.14万元，占1.04%；水利286.97万元，占94.5%；住房保障（类）支出6.19万元，占 2.03%</w:t>
      </w:r>
      <w:r>
        <w:rPr>
          <w:rFonts w:hint="eastAsia" w:ascii="仿宋_GB2312" w:hAnsi="Times New Roman" w:eastAsia="仿宋_GB2312" w:cs="DengXian-Regular"/>
          <w:b/>
          <w:sz w:val="36"/>
          <w:szCs w:val="32"/>
        </w:rPr>
        <w:t>。</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（存在一般公共预算收支，即公开06表不为空，如为空此部分可忽略）</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2023年度财政拨款基本支出303.69万元，其中：</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人员经费 87.91万元，主要包括基本工资、津贴补贴、奖金、绩效工资、机关事业单位基本养老保险缴费、职工基本医疗保险缴费、住房公积金、其他社会保障缴费、生活补助、奖励金、其他对个人和家庭的补助支出。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公用经费2.12万元，主要包括办公费、邮电费、取暖费、工会经费、福利费。</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五、财政拨款“三公”</w:t>
      </w:r>
      <w:bookmarkStart w:id="0" w:name="_GoBack"/>
      <w:bookmarkEnd w:id="0"/>
      <w:r>
        <w:rPr>
          <w:rFonts w:hint="eastAsia" w:ascii="黑体" w:hAnsi="Calibri" w:eastAsia="黑体" w:cs="Times New Roman"/>
          <w:sz w:val="32"/>
          <w:szCs w:val="32"/>
        </w:rPr>
        <w:t>经费支出决算情况说明</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本部门2023年度“三公”经费财政拨款支出预算为0万元，支出决算为0万元，完成预算的0%,较预算增加（减少）0万元，增长（降低）0%，较2022年度决算增加（减少）0万元，增长（降低）0%。</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（二）“三公”经费财政拨款支出决算具体情况说明</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1.因公出国（境）费支出情况。</w:t>
      </w:r>
      <w:r>
        <w:rPr>
          <w:rFonts w:hint="eastAsia" w:ascii="仿宋_GB2312" w:hAnsi="Times New Roman" w:eastAsia="仿宋_GB2312" w:cs="DengXian-Regular"/>
          <w:sz w:val="32"/>
          <w:szCs w:val="32"/>
        </w:rPr>
        <w:t>本部门2023年度因公出国（境）费支出预算为0万元，支出决算0万元，完成预算的0%。因公出国（境）费支出较预算增加（减少）0万元，增长（降低）0%,主要是0；较上年增加（减少）0万元，增长（降低）0%。其中因公出国（境）团组0个、共0人、参加其他单位组织的因公出国（境）团组0个、共0人</w:t>
      </w:r>
      <w:r>
        <w:rPr>
          <w:rFonts w:hint="eastAsia" w:ascii="仿宋_GB2312" w:hAnsi="Times New Roman" w:eastAsia="仿宋_GB2312" w:cs="DengXian-Regular"/>
          <w:b/>
          <w:bCs/>
          <w:sz w:val="32"/>
          <w:szCs w:val="32"/>
        </w:rPr>
        <w:t>/</w:t>
      </w:r>
      <w:r>
        <w:rPr>
          <w:rFonts w:hint="eastAsia" w:ascii="仿宋_GB2312" w:hAnsi="Times New Roman" w:eastAsia="仿宋_GB2312" w:cs="DengXian-Regular"/>
          <w:sz w:val="32"/>
          <w:szCs w:val="32"/>
        </w:rPr>
        <w:t>无本部门组织的出国（境）团组。</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2.公务用车购置及运行维护费支出情况。</w:t>
      </w:r>
      <w:r>
        <w:rPr>
          <w:rFonts w:hint="eastAsia" w:ascii="仿宋_GB2312" w:hAnsi="Times New Roman" w:eastAsia="仿宋_GB2312" w:cs="DengXian-Regular"/>
          <w:sz w:val="32"/>
          <w:szCs w:val="32"/>
        </w:rPr>
        <w:t>本部门2023年度公务用车购置及运行维护费预算为0万元，支出决算0万元，完成预算的0%。较预算增加（减少）0万元，增长（降低）0%,主要是0；较上年增加（减少）0万元，增长（降低）0%。</w:t>
      </w:r>
      <w:r>
        <w:rPr>
          <w:rFonts w:hint="eastAsia" w:ascii="仿宋_GB2312" w:hAnsi="Times New Roman" w:eastAsia="仿宋_GB2312" w:cs="DengXian-Bold"/>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公务用车购置费支出</w:t>
      </w:r>
      <w:r>
        <w:rPr>
          <w:rFonts w:hint="eastAsia" w:ascii="楷体_GB2312" w:hAnsi="Times New Roman" w:eastAsia="楷体_GB2312" w:cs="DengXian-Bold"/>
          <w:b/>
          <w:bCs/>
          <w:sz w:val="32"/>
          <w:szCs w:val="32"/>
        </w:rPr>
        <w:t>0万元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本部门2023年度公务用车购置量0辆，发生“公务用车购置”经费支出0万元。公务用车购置费支出较预算增加（减少）0万元，增长（降低）0%,主要是0；较上年增加（减少）0万元，增长（降低）0%。</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公务用车运行维护费支出0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本部门2023年度单位财政开支公务用车保有量0辆。公车运行维护费支出较预算增加0万元，增长0%；较上年增加0万元，增长0%。</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3.公务接待费支出情况。</w:t>
      </w:r>
      <w:r>
        <w:rPr>
          <w:rFonts w:hint="eastAsia" w:ascii="仿宋_GB2312" w:hAnsi="Times New Roman" w:eastAsia="仿宋_GB2312" w:cs="DengXian-Regular"/>
          <w:sz w:val="32"/>
          <w:szCs w:val="32"/>
        </w:rPr>
        <w:t>本部门2023年度公务接待费支出预算为0万元，支出决算0万元，完成预算的0%。公务接待费支出较预算减少0万元，降低0%；较上年度减少0万元，降低0%。本年度共发生公务接待0批次、0人次。</w:t>
      </w:r>
    </w:p>
    <w:p>
      <w:pPr>
        <w:adjustRightInd w:val="0"/>
        <w:snapToGrid w:val="0"/>
        <w:spacing w:line="580" w:lineRule="exact"/>
        <w:ind w:left="420" w:leftChars="200" w:firstLine="320" w:firstLineChars="100"/>
        <w:rPr>
          <w:rFonts w:ascii="仿宋_GB2312" w:hAnsi="仿宋_GB2312" w:eastAsia="仿宋_GB2312" w:cs="仿宋_GB2312"/>
          <w:sz w:val="32"/>
          <w:szCs w:val="32"/>
        </w:rPr>
      </w:pPr>
      <w:r>
        <w:rPr>
          <w:rFonts w:hint="eastAsia" w:ascii="黑体" w:hAnsi="Calibri" w:eastAsia="黑体" w:cs="Times New Roman"/>
          <w:sz w:val="32"/>
          <w:szCs w:val="32"/>
        </w:rPr>
        <w:t>六、机关运行经费支出说明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本部门2023年度机关运行经费支出0万元，较2022年度增加0万元，增长0%。</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七、政府采购支出说明</w:t>
      </w:r>
    </w:p>
    <w:p>
      <w:pPr>
        <w:snapToGrid w:val="0"/>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Times New Roman" w:eastAsia="仿宋_GB2312" w:cs="DengXian-Regular"/>
          <w:sz w:val="32"/>
          <w:szCs w:val="32"/>
        </w:rPr>
        <w:t>本部门2023年度政府采购支出总额0万元，从采购类型来看，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万元、政府采购工程支出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万元、政府采购服务支出 </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万元，占政府采购支出总额的 </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w:t>
      </w:r>
    </w:p>
    <w:p>
      <w:pPr>
        <w:snapToGrid w:val="0"/>
        <w:spacing w:line="580" w:lineRule="exact"/>
        <w:ind w:firstLine="640" w:firstLineChars="200"/>
        <w:jc w:val="left"/>
        <w:rPr>
          <w:rFonts w:ascii="仿宋_GB2312" w:hAnsi="Times New Roman" w:eastAsia="仿宋_GB2312" w:cs="DengXian-Regular"/>
          <w:sz w:val="32"/>
          <w:szCs w:val="32"/>
          <w:highlight w:val="yellow"/>
        </w:rPr>
      </w:pPr>
      <w:r>
        <w:rPr>
          <w:rFonts w:hint="eastAsia" w:ascii="黑体" w:hAnsi="Calibri" w:eastAsia="黑体" w:cs="Times New Roman"/>
          <w:sz w:val="32"/>
          <w:szCs w:val="32"/>
        </w:rPr>
        <w:t>八、国有资产占用情况说明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2023年12月31日，本部门共有车辆0辆，比上年增加0辆。其中，副部（省）级及以上领导用车0辆，主要领导干部用车0辆，机要通信用车0辆，应急保障用车0辆，执法执勤用车0辆，特种专业技术用车0辆，离退休干部用车0辆，其他用车0辆，其他用车主要是0；单位价值100万元以上设备（不含车辆）0台（套）。</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九、预算绩效情况说明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2023年度一般公共预算项目支出全面开展绩效自评，其中，一级项目1个，二级项目0个，共涉及资金213.65万元，占一般公共预算项目支出总额的70.35%。组织对2023年度0个政府性基金预算项目支出开展绩效自评，共涉及资金0万元，占政府性基金预算项目支出总额的0%。组织对2023年度0个国有资本经营预算项目支出开展绩效自评，共涉及资金0万元，占国有资本经营预算项目支出总额的0%。</w:t>
      </w:r>
    </w:p>
    <w:p>
      <w:pPr>
        <w:snapToGrid w:val="0"/>
        <w:spacing w:line="520" w:lineRule="exact"/>
        <w:ind w:firstLine="640" w:firstLineChars="200"/>
        <w:rPr>
          <w:rFonts w:ascii="仿宋_GB2312" w:hAnsi="仿宋" w:eastAsia="仿宋_GB2312"/>
          <w:sz w:val="32"/>
          <w:szCs w:val="32"/>
        </w:rPr>
      </w:pPr>
      <w:r>
        <w:rPr>
          <w:rFonts w:hint="eastAsia" w:ascii="仿宋_GB2312" w:hAnsi="仿宋_GB2312" w:eastAsia="仿宋_GB2312" w:cs="仿宋_GB2312"/>
          <w:sz w:val="32"/>
          <w:szCs w:val="32"/>
        </w:rPr>
        <w:t>组织对“农林水支出”等1个项目开展了部门评价，涉及一般公共预算支出213.65万元，政府性基金预算支出0万元，国有资本经营预算支出0万元。从评价情况来看，发挥财政一体化业务平台作用，规范预算管理，加强绩效运行监控。积极参加财政局组织的各项培训，提高业务能力，确保了我单位财务工作扎实开展。</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（二）部门决算中项目绩效自评结果（如有）</w:t>
      </w:r>
    </w:p>
    <w:p>
      <w:pPr>
        <w:adjustRightInd w:val="0"/>
        <w:snapToGrid w:val="0"/>
        <w:spacing w:line="580" w:lineRule="exact"/>
        <w:ind w:firstLine="640" w:firstLineChars="200"/>
        <w:rPr>
          <w:rFonts w:ascii="仿宋_GB2312" w:hAnsi="仿宋_GB2312" w:eastAsia="仿宋_GB2312" w:cs="仿宋_GB2312"/>
          <w:b/>
          <w:color w:val="FF0000"/>
          <w:sz w:val="32"/>
          <w:szCs w:val="32"/>
        </w:rPr>
      </w:pPr>
      <w:r>
        <w:rPr>
          <w:rFonts w:hint="eastAsia" w:ascii="仿宋_GB2312" w:hAnsi="仿宋_GB2312" w:eastAsia="仿宋_GB2312" w:cs="仿宋_GB2312"/>
          <w:sz w:val="32"/>
          <w:szCs w:val="32"/>
        </w:rPr>
        <w:t>本部门在今年部门决算公开中反映农林水支出1个项目绩效自评结果。</w:t>
      </w:r>
    </w:p>
    <w:p>
      <w:pPr>
        <w:adjustRightInd w:val="0"/>
        <w:snapToGrid w:val="0"/>
        <w:spacing w:line="580" w:lineRule="exact"/>
        <w:ind w:firstLine="640" w:firstLineChars="200"/>
        <w:rPr>
          <w:rFonts w:ascii="仿宋_GB2312" w:hAnsi="仿宋_GB2312" w:eastAsia="仿宋_GB2312" w:cs="仿宋_GB2312"/>
          <w:b/>
          <w:bCs/>
          <w:sz w:val="32"/>
          <w:szCs w:val="32"/>
          <w:highlight w:val="red"/>
        </w:rPr>
      </w:pPr>
      <w:r>
        <w:rPr>
          <w:rFonts w:hint="eastAsia" w:ascii="仿宋_GB2312" w:hAnsi="仿宋_GB2312" w:eastAsia="仿宋_GB2312" w:cs="仿宋_GB2312"/>
          <w:sz w:val="32"/>
          <w:szCs w:val="32"/>
        </w:rPr>
        <w:t>农林水支出项目绩效自评情况：根据年初设定的绩效目标，农林水支出项目绩效自评得分为100分（绩效自评表附后）。全年预算数为213.65万元，执行数为213.65万元，完成预算的100%。</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黑体" w:hAnsi="Calibri" w:eastAsia="黑体" w:cs="Times New Roman"/>
          <w:sz w:val="32"/>
          <w:szCs w:val="32"/>
        </w:rPr>
        <w:t>十、其他需要说明的情况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 本部门2023年度政府性基金预算财政拨款收入支出决算表、国有资本经营预算财政拨款支出决算表、财政拨款“三公”经费支出决算表无收支及结转结余情况，故政府性基金预算财政拨款收入支出决算表、国有资本经营预算财政拨款支出决算表、财政拨款“三公”经费支出决算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pPr>
    </w:p>
    <w:p>
      <w:pPr>
        <w:rPr>
          <w:rFonts w:ascii="仿宋_GB2312" w:hAnsi="宋体" w:eastAsia="仿宋_GB2312" w:cs="ArialUnicodeMS"/>
          <w:sz w:val="32"/>
          <w:szCs w:val="32"/>
        </w:rPr>
      </w:pPr>
    </w:p>
    <w:p>
      <w:pPr>
        <w:widowControl/>
        <w:jc w:val="center"/>
        <w:rPr>
          <w:rFonts w:ascii="黑体" w:hAnsi="黑体" w:eastAsia="黑体" w:cs="黑体"/>
          <w:color w:val="000000" w:themeColor="text1"/>
          <w:sz w:val="44"/>
          <w:szCs w:val="44"/>
        </w:rPr>
      </w:pPr>
    </w:p>
    <w:p>
      <w:pPr>
        <w:widowControl/>
        <w:jc w:val="center"/>
        <w:rPr>
          <w:sz w:val="44"/>
          <w:szCs w:val="44"/>
        </w:rPr>
      </w:pPr>
      <w:r>
        <w:rPr>
          <w:rFonts w:hint="eastAsia" w:ascii="黑体" w:hAnsi="黑体" w:eastAsia="黑体" w:cs="黑体"/>
          <w:color w:val="000000" w:themeColor="text1"/>
          <w:sz w:val="44"/>
          <w:szCs w:val="44"/>
        </w:rPr>
        <w:t>第四部分 名词解释</w:t>
      </w:r>
    </w:p>
    <w:p>
      <w:pPr>
        <w:rPr>
          <w:rFonts w:ascii="仿宋_GB2312" w:hAnsi="宋体" w:eastAsia="仿宋_GB2312" w:cs="ArialUnicodeMS"/>
          <w:sz w:val="32"/>
          <w:szCs w:val="32"/>
        </w:rPr>
      </w:pP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财政拨款收入：</w:t>
      </w:r>
      <w:r>
        <w:rPr>
          <w:rFonts w:hint="eastAsia" w:ascii="仿宋_GB2312" w:hAnsi="宋体" w:eastAsia="仿宋_GB2312" w:cs="Times New Roman"/>
          <w:bCs/>
          <w:color w:val="000000"/>
          <w:kern w:val="0"/>
          <w:sz w:val="32"/>
          <w:szCs w:val="32"/>
        </w:rPr>
        <w:t>指单位从同级财政部门取得的财政预</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算资金。</w:t>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事业收入：</w:t>
      </w:r>
      <w:r>
        <w:rPr>
          <w:rFonts w:hint="eastAsia" w:ascii="仿宋_GB2312" w:hAnsi="宋体" w:eastAsia="仿宋_GB2312" w:cs="Times New Roman"/>
          <w:bCs/>
          <w:color w:val="000000"/>
          <w:kern w:val="0"/>
          <w:sz w:val="32"/>
          <w:szCs w:val="32"/>
        </w:rPr>
        <w:t>指事业单位开展专业业务活动及辅助活动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取得的收入。</w:t>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经营收入：</w:t>
      </w:r>
      <w:r>
        <w:rPr>
          <w:rFonts w:hint="eastAsia" w:ascii="仿宋_GB2312" w:hAnsi="宋体" w:eastAsia="仿宋_GB2312" w:cs="Times New Roman"/>
          <w:bCs/>
          <w:color w:val="000000"/>
          <w:kern w:val="0"/>
          <w:sz w:val="32"/>
          <w:szCs w:val="32"/>
        </w:rPr>
        <w:t>指事业单位在专业业务活动及其辅助活动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之外开展非独立核算经营活动取得的收入。</w:t>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其他收入：</w:t>
      </w:r>
      <w:r>
        <w:rPr>
          <w:rFonts w:hint="eastAsia" w:ascii="仿宋_GB2312" w:hAnsi="宋体" w:eastAsia="仿宋_GB2312" w:cs="Times New Roman"/>
          <w:bCs/>
          <w:color w:val="000000"/>
          <w:kern w:val="0"/>
          <w:sz w:val="32"/>
          <w:szCs w:val="32"/>
        </w:rPr>
        <w:t>指单位取得的除上述收入以外的各项收</w:t>
      </w:r>
    </w:p>
    <w:p>
      <w:pPr>
        <w:spacing w:line="580" w:lineRule="exact"/>
        <w:rPr>
          <w:rFonts w:ascii="仿宋_GB2312" w:hAnsi="宋体" w:eastAsia="仿宋_GB2312" w:cs="Times New Roman"/>
          <w:b/>
          <w:bCs/>
          <w:color w:val="000000"/>
          <w:kern w:val="0"/>
          <w:sz w:val="32"/>
          <w:szCs w:val="32"/>
        </w:rPr>
      </w:pPr>
      <w:r>
        <w:rPr>
          <w:rFonts w:hint="eastAsia" w:ascii="仿宋_GB2312" w:hAnsi="宋体" w:eastAsia="仿宋_GB2312" w:cs="Times New Roman"/>
          <w:bCs/>
          <w:color w:val="000000"/>
          <w:kern w:val="0"/>
          <w:sz w:val="32"/>
          <w:szCs w:val="32"/>
        </w:rPr>
        <w:t>入。主要是事业单位固定资产出租收入、存款利息收入等。</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 xml:space="preserve">   五、使用非财政拨款结余（含专用结余）：</w:t>
      </w:r>
      <w:r>
        <w:rPr>
          <w:rFonts w:hint="eastAsia" w:ascii="仿宋_GB2312" w:hAnsi="宋体" w:eastAsia="仿宋_GB2312" w:cs="Times New Roman"/>
          <w:bCs/>
          <w:color w:val="000000"/>
          <w:kern w:val="0"/>
          <w:sz w:val="32"/>
          <w:szCs w:val="32"/>
        </w:rPr>
        <w:t>指事业单位按照预算管理要求使用非财政拨款结余弥补收支差额的金额，以及使用专用结余安排支出的金额。</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年初结转和结余：</w:t>
      </w:r>
      <w:r>
        <w:rPr>
          <w:rFonts w:hint="eastAsia" w:ascii="仿宋_GB2312" w:hAnsi="宋体" w:eastAsia="仿宋_GB2312" w:cs="Times New Roman"/>
          <w:bCs/>
          <w:color w:val="000000"/>
          <w:kern w:val="0"/>
          <w:sz w:val="32"/>
          <w:szCs w:val="32"/>
        </w:rPr>
        <w:t>指单位以前年度尚未完成、结转到</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本年仍按原规定用途继续使用的资金，或项目已完成等产生的结余资金。</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结余分配：</w:t>
      </w:r>
      <w:r>
        <w:rPr>
          <w:rFonts w:hint="eastAsia" w:ascii="仿宋_GB2312" w:hAnsi="宋体" w:eastAsia="仿宋_GB2312" w:cs="Times New Roman"/>
          <w:bCs/>
          <w:color w:val="000000"/>
          <w:kern w:val="0"/>
          <w:sz w:val="32"/>
          <w:szCs w:val="32"/>
        </w:rPr>
        <w:t>指事业单位按照会计制度规定缴纳的所得</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税、提取的专用结余以及转入非财政拨款结余的金额等。</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年末结转和结余：</w:t>
      </w:r>
      <w:r>
        <w:rPr>
          <w:rFonts w:hint="eastAsia" w:ascii="仿宋_GB2312" w:hAnsi="宋体" w:eastAsia="仿宋_GB2312" w:cs="Times New Roman"/>
          <w:bCs/>
          <w:color w:val="000000"/>
          <w:kern w:val="0"/>
          <w:sz w:val="32"/>
          <w:szCs w:val="32"/>
        </w:rPr>
        <w:t>指单位按有关规定结转到下年或以</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后年度继续使用的资金，或项目已完成等产生的结余资金。</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基本支出：</w:t>
      </w:r>
      <w:r>
        <w:rPr>
          <w:rFonts w:hint="eastAsia" w:ascii="仿宋_GB2312" w:hAnsi="宋体" w:eastAsia="仿宋_GB2312" w:cs="Times New Roman"/>
          <w:bCs/>
          <w:color w:val="000000"/>
          <w:kern w:val="0"/>
          <w:sz w:val="32"/>
          <w:szCs w:val="32"/>
        </w:rPr>
        <w:t>指为保障机构正常运转、完成日常工作任</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务而发生的人员支出和公用支出。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十、项目支出：</w:t>
      </w:r>
      <w:r>
        <w:rPr>
          <w:rFonts w:hint="eastAsia" w:ascii="仿宋_GB2312" w:hAnsi="宋体" w:eastAsia="仿宋_GB2312" w:cs="Times New Roman"/>
          <w:color w:val="000000"/>
          <w:kern w:val="0"/>
          <w:sz w:val="32"/>
          <w:szCs w:val="32"/>
        </w:rPr>
        <w:t>指在基本支出之外为完成特定行政任务和事业发展目标所发生的支出。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十一、经营支出 ：</w:t>
      </w:r>
      <w:r>
        <w:rPr>
          <w:rFonts w:hint="eastAsia" w:ascii="仿宋_GB2312" w:hAnsi="宋体" w:eastAsia="仿宋_GB2312" w:cs="Times New Roman"/>
          <w:color w:val="000000"/>
          <w:kern w:val="0"/>
          <w:sz w:val="32"/>
          <w:szCs w:val="32"/>
        </w:rPr>
        <w:t>指事业单位在专业业务活动及其辅助活动之外开展非独立核算经营活动发生的支出。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b/>
          <w:bCs/>
          <w:color w:val="000000"/>
          <w:kern w:val="0"/>
          <w:sz w:val="32"/>
          <w:szCs w:val="32"/>
        </w:rPr>
      </w:pPr>
      <w:r>
        <w:rPr>
          <w:rFonts w:hint="eastAsia" w:ascii="仿宋_GB2312" w:hAnsi="宋体" w:eastAsia="仿宋_GB2312" w:cs="Times New Roman"/>
          <w:b/>
          <w:bCs/>
          <w:color w:val="000000"/>
          <w:kern w:val="0"/>
          <w:sz w:val="32"/>
          <w:szCs w:val="32"/>
        </w:rPr>
        <w:t>十三、其他资本性支出：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十七、其他交通工具购置：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十八、机关运行经费：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十九、经费形式: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sectPr>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0000000000000000000"/>
    <w:charset w:val="86"/>
    <w:family w:val="auto"/>
    <w:pitch w:val="default"/>
    <w:sig w:usb0="00000000" w:usb1="00000000" w:usb2="00000010" w:usb3="00000000" w:csb0="0004009F" w:csb1="00000000"/>
  </w:font>
  <w:font w:name="楷体_GB2312">
    <w:altName w:val="楷体"/>
    <w:panose1 w:val="00000000000000000000"/>
    <w:charset w:val="86"/>
    <w:family w:val="swiss"/>
    <w:pitch w:val="default"/>
    <w:sig w:usb0="00000000" w:usb1="00000000" w:usb2="00000000" w:usb3="00000000" w:csb0="00040000" w:csb1="00000000"/>
  </w:font>
  <w:font w:name="方正魏碑简体">
    <w:panose1 w:val="02000000000000000000"/>
    <w:charset w:val="86"/>
    <w:family w:val="auto"/>
    <w:pitch w:val="default"/>
    <w:sig w:usb0="A00002BF" w:usb1="184F6CFA" w:usb2="00000012" w:usb3="00000000" w:csb0="00040001" w:csb1="00000000"/>
  </w:font>
  <w:font w:name="Arial">
    <w:panose1 w:val="020B0604020202020204"/>
    <w:charset w:val="00"/>
    <w:family w:val="swiss"/>
    <w:pitch w:val="default"/>
    <w:sig w:usb0="E0002EFF" w:usb1="C000785B" w:usb2="00000009" w:usb3="00000000" w:csb0="400001FF" w:csb1="FFFF0000"/>
  </w:font>
  <w:font w:name="思源黑体 CN Heavy">
    <w:altName w:val="黑体"/>
    <w:panose1 w:val="00000000000000000000"/>
    <w:charset w:val="86"/>
    <w:family w:val="swiss"/>
    <w:pitch w:val="default"/>
    <w:sig w:usb0="00000000" w:usb1="00000000" w:usb2="00000016" w:usb3="00000000" w:csb0="00060107"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MS-UIGothic,Bold">
    <w:altName w:val="Malgun Gothic"/>
    <w:panose1 w:val="00000000000000000000"/>
    <w:charset w:val="81"/>
    <w:family w:val="auto"/>
    <w:pitch w:val="default"/>
    <w:sig w:usb0="00000000" w:usb1="00000000" w:usb2="00000010" w:usb3="00000000" w:csb0="00080000"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384AB9"/>
    <w:multiLevelType w:val="singleLevel"/>
    <w:tmpl w:val="B4384AB9"/>
    <w:lvl w:ilvl="0" w:tentative="0">
      <w:start w:val="2"/>
      <w:numFmt w:val="chineseCounting"/>
      <w:suff w:val="space"/>
      <w:lvlText w:val="第%1部分"/>
      <w:lvlJc w:val="left"/>
      <w:pPr>
        <w:ind w:left="1760" w:firstLine="0"/>
      </w:pPr>
      <w:rPr>
        <w:rFonts w:hint="eastAsia"/>
      </w:r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abstractNum w:abstractNumId="2">
    <w:nsid w:val="486A544E"/>
    <w:multiLevelType w:val="multilevel"/>
    <w:tmpl w:val="486A544E"/>
    <w:lvl w:ilvl="0" w:tentative="0">
      <w:start w:val="6"/>
      <w:numFmt w:val="japaneseCounting"/>
      <w:lvlText w:val="%1、"/>
      <w:lvlJc w:val="left"/>
      <w:pPr>
        <w:ind w:left="1360" w:hanging="720"/>
      </w:pPr>
      <w:rPr>
        <w:rFonts w:hint="default"/>
        <w:b/>
        <w:u w:val="none"/>
      </w:rPr>
    </w:lvl>
    <w:lvl w:ilvl="1" w:tentative="0">
      <w:start w:val="1"/>
      <w:numFmt w:val="lowerLetter"/>
      <w:lvlText w:val="%2)"/>
      <w:lvlJc w:val="left"/>
      <w:pPr>
        <w:ind w:left="1480" w:hanging="420"/>
      </w:pPr>
      <w:rPr>
        <w:rFonts w:hint="default"/>
        <w:u w:val="none"/>
      </w:rPr>
    </w:lvl>
    <w:lvl w:ilvl="2" w:tentative="0">
      <w:start w:val="1"/>
      <w:numFmt w:val="lowerRoman"/>
      <w:lvlText w:val="%3."/>
      <w:lvlJc w:val="right"/>
      <w:pPr>
        <w:ind w:left="1900" w:hanging="420"/>
      </w:pPr>
      <w:rPr>
        <w:rFonts w:hint="default"/>
        <w:u w:val="none"/>
      </w:rPr>
    </w:lvl>
    <w:lvl w:ilvl="3" w:tentative="0">
      <w:start w:val="1"/>
      <w:numFmt w:val="decimal"/>
      <w:lvlText w:val="%4."/>
      <w:lvlJc w:val="left"/>
      <w:pPr>
        <w:ind w:left="2320" w:hanging="420"/>
      </w:pPr>
      <w:rPr>
        <w:rFonts w:hint="default"/>
        <w:u w:val="none"/>
      </w:rPr>
    </w:lvl>
    <w:lvl w:ilvl="4" w:tentative="0">
      <w:start w:val="1"/>
      <w:numFmt w:val="lowerLetter"/>
      <w:lvlText w:val="%5)"/>
      <w:lvlJc w:val="left"/>
      <w:pPr>
        <w:ind w:left="2740" w:hanging="420"/>
      </w:pPr>
      <w:rPr>
        <w:rFonts w:hint="default"/>
        <w:u w:val="none"/>
      </w:rPr>
    </w:lvl>
    <w:lvl w:ilvl="5" w:tentative="0">
      <w:start w:val="1"/>
      <w:numFmt w:val="lowerRoman"/>
      <w:lvlText w:val="%6."/>
      <w:lvlJc w:val="right"/>
      <w:pPr>
        <w:ind w:left="3160" w:hanging="420"/>
      </w:pPr>
      <w:rPr>
        <w:rFonts w:hint="default"/>
        <w:u w:val="none"/>
      </w:rPr>
    </w:lvl>
    <w:lvl w:ilvl="6" w:tentative="0">
      <w:start w:val="1"/>
      <w:numFmt w:val="decimal"/>
      <w:lvlText w:val="%7."/>
      <w:lvlJc w:val="left"/>
      <w:pPr>
        <w:ind w:left="3580" w:hanging="420"/>
      </w:pPr>
      <w:rPr>
        <w:rFonts w:hint="default"/>
        <w:u w:val="none"/>
      </w:rPr>
    </w:lvl>
    <w:lvl w:ilvl="7" w:tentative="0">
      <w:start w:val="1"/>
      <w:numFmt w:val="lowerLetter"/>
      <w:lvlText w:val="%8)"/>
      <w:lvlJc w:val="left"/>
      <w:pPr>
        <w:ind w:left="4000" w:hanging="420"/>
      </w:pPr>
      <w:rPr>
        <w:rFonts w:hint="default"/>
        <w:u w:val="none"/>
      </w:rPr>
    </w:lvl>
    <w:lvl w:ilvl="8" w:tentative="0">
      <w:start w:val="1"/>
      <w:numFmt w:val="lowerRoman"/>
      <w:lvlText w:val="%9."/>
      <w:lvlJc w:val="right"/>
      <w:pPr>
        <w:ind w:left="4420" w:hanging="420"/>
      </w:pPr>
      <w:rPr>
        <w:rFonts w:hint="default"/>
        <w:u w:val="none"/>
      </w:rPr>
    </w:lvl>
  </w:abstractNum>
  <w:abstractNum w:abstractNumId="3">
    <w:nsid w:val="53D25D65"/>
    <w:multiLevelType w:val="multilevel"/>
    <w:tmpl w:val="53D25D65"/>
    <w:lvl w:ilvl="0" w:tentative="0">
      <w:start w:val="1"/>
      <w:numFmt w:val="japaneseCounting"/>
      <w:lvlText w:val="%1、"/>
      <w:lvlJc w:val="left"/>
      <w:pPr>
        <w:tabs>
          <w:tab w:val="left" w:pos="1395"/>
        </w:tabs>
        <w:ind w:left="1395" w:hanging="720"/>
      </w:pPr>
      <w:rPr>
        <w:rFonts w:hint="default"/>
        <w:b/>
        <w:u w:val="none"/>
      </w:rPr>
    </w:lvl>
    <w:lvl w:ilvl="1" w:tentative="0">
      <w:start w:val="1"/>
      <w:numFmt w:val="lowerLetter"/>
      <w:lvlText w:val="%2)"/>
      <w:lvlJc w:val="left"/>
      <w:pPr>
        <w:tabs>
          <w:tab w:val="left" w:pos="1515"/>
        </w:tabs>
        <w:ind w:left="1515" w:hanging="420"/>
      </w:pPr>
      <w:rPr>
        <w:rFonts w:hint="default"/>
        <w:u w:val="none"/>
      </w:rPr>
    </w:lvl>
    <w:lvl w:ilvl="2" w:tentative="0">
      <w:start w:val="1"/>
      <w:numFmt w:val="lowerRoman"/>
      <w:lvlText w:val="%3."/>
      <w:lvlJc w:val="right"/>
      <w:pPr>
        <w:tabs>
          <w:tab w:val="left" w:pos="1935"/>
        </w:tabs>
        <w:ind w:left="1935" w:hanging="420"/>
      </w:pPr>
      <w:rPr>
        <w:rFonts w:hint="default"/>
        <w:u w:val="none"/>
      </w:rPr>
    </w:lvl>
    <w:lvl w:ilvl="3" w:tentative="0">
      <w:start w:val="1"/>
      <w:numFmt w:val="decimal"/>
      <w:lvlText w:val="%4."/>
      <w:lvlJc w:val="left"/>
      <w:pPr>
        <w:tabs>
          <w:tab w:val="left" w:pos="2355"/>
        </w:tabs>
        <w:ind w:left="2355" w:hanging="420"/>
      </w:pPr>
      <w:rPr>
        <w:rFonts w:hint="default"/>
        <w:u w:val="none"/>
      </w:rPr>
    </w:lvl>
    <w:lvl w:ilvl="4" w:tentative="0">
      <w:start w:val="1"/>
      <w:numFmt w:val="lowerLetter"/>
      <w:lvlText w:val="%5)"/>
      <w:lvlJc w:val="left"/>
      <w:pPr>
        <w:tabs>
          <w:tab w:val="left" w:pos="2775"/>
        </w:tabs>
        <w:ind w:left="2775" w:hanging="420"/>
      </w:pPr>
      <w:rPr>
        <w:rFonts w:hint="default"/>
        <w:u w:val="none"/>
      </w:rPr>
    </w:lvl>
    <w:lvl w:ilvl="5" w:tentative="0">
      <w:start w:val="1"/>
      <w:numFmt w:val="lowerRoman"/>
      <w:lvlText w:val="%6."/>
      <w:lvlJc w:val="right"/>
      <w:pPr>
        <w:tabs>
          <w:tab w:val="left" w:pos="3195"/>
        </w:tabs>
        <w:ind w:left="3195" w:hanging="420"/>
      </w:pPr>
      <w:rPr>
        <w:rFonts w:hint="default"/>
        <w:u w:val="none"/>
      </w:rPr>
    </w:lvl>
    <w:lvl w:ilvl="6" w:tentative="0">
      <w:start w:val="1"/>
      <w:numFmt w:val="decimal"/>
      <w:lvlText w:val="%7."/>
      <w:lvlJc w:val="left"/>
      <w:pPr>
        <w:tabs>
          <w:tab w:val="left" w:pos="3615"/>
        </w:tabs>
        <w:ind w:left="3615" w:hanging="420"/>
      </w:pPr>
      <w:rPr>
        <w:rFonts w:hint="default"/>
        <w:u w:val="none"/>
      </w:rPr>
    </w:lvl>
    <w:lvl w:ilvl="7" w:tentative="0">
      <w:start w:val="1"/>
      <w:numFmt w:val="lowerLetter"/>
      <w:lvlText w:val="%8)"/>
      <w:lvlJc w:val="left"/>
      <w:pPr>
        <w:tabs>
          <w:tab w:val="left" w:pos="4035"/>
        </w:tabs>
        <w:ind w:left="4035" w:hanging="420"/>
      </w:pPr>
      <w:rPr>
        <w:rFonts w:hint="default"/>
        <w:u w:val="none"/>
      </w:rPr>
    </w:lvl>
    <w:lvl w:ilvl="8" w:tentative="0">
      <w:start w:val="1"/>
      <w:numFmt w:val="lowerRoman"/>
      <w:lvlText w:val="%9."/>
      <w:lvlJc w:val="right"/>
      <w:pPr>
        <w:tabs>
          <w:tab w:val="left" w:pos="4455"/>
        </w:tabs>
        <w:ind w:left="4455" w:hanging="420"/>
      </w:pPr>
      <w:rPr>
        <w:rFonts w:hint="default"/>
        <w:u w:val="no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jb3VudCI6NjAsImhkaWQiOiI4NjIzMTc5NTZjZmU2MzI5NDBmMmM1YWM4ZDQyZjVmMyIsInVzZXJDb3VudCI6MX0="/>
    <w:docVar w:name="KSO_WPS_MARK_KEY" w:val="71c2c6a0-067b-4e3a-b3ef-0dc62715dcd3"/>
  </w:docVars>
  <w:rsids>
    <w:rsidRoot w:val="00172A27"/>
    <w:rsid w:val="000031F7"/>
    <w:rsid w:val="00014862"/>
    <w:rsid w:val="000349BA"/>
    <w:rsid w:val="00096323"/>
    <w:rsid w:val="000C393A"/>
    <w:rsid w:val="000E0048"/>
    <w:rsid w:val="00125965"/>
    <w:rsid w:val="00144CC5"/>
    <w:rsid w:val="00172A27"/>
    <w:rsid w:val="0019539B"/>
    <w:rsid w:val="001B5182"/>
    <w:rsid w:val="00203288"/>
    <w:rsid w:val="00203BB2"/>
    <w:rsid w:val="00206EB2"/>
    <w:rsid w:val="00262CE0"/>
    <w:rsid w:val="0028309C"/>
    <w:rsid w:val="002C1F3E"/>
    <w:rsid w:val="002C2C3F"/>
    <w:rsid w:val="00310221"/>
    <w:rsid w:val="0034600F"/>
    <w:rsid w:val="00366EA1"/>
    <w:rsid w:val="003A0AD6"/>
    <w:rsid w:val="003F0B93"/>
    <w:rsid w:val="004370E1"/>
    <w:rsid w:val="004550B9"/>
    <w:rsid w:val="00466489"/>
    <w:rsid w:val="00473A26"/>
    <w:rsid w:val="00483998"/>
    <w:rsid w:val="00485474"/>
    <w:rsid w:val="004D1145"/>
    <w:rsid w:val="004E274E"/>
    <w:rsid w:val="004F23D0"/>
    <w:rsid w:val="004F5E71"/>
    <w:rsid w:val="0051575E"/>
    <w:rsid w:val="00522C51"/>
    <w:rsid w:val="005302FE"/>
    <w:rsid w:val="00550130"/>
    <w:rsid w:val="005647C2"/>
    <w:rsid w:val="005B2633"/>
    <w:rsid w:val="005D5ACE"/>
    <w:rsid w:val="00650DE2"/>
    <w:rsid w:val="00651B9B"/>
    <w:rsid w:val="00657113"/>
    <w:rsid w:val="00663586"/>
    <w:rsid w:val="006C5D6E"/>
    <w:rsid w:val="007042CC"/>
    <w:rsid w:val="00704A9C"/>
    <w:rsid w:val="00743A78"/>
    <w:rsid w:val="00757732"/>
    <w:rsid w:val="00776C8E"/>
    <w:rsid w:val="007840C3"/>
    <w:rsid w:val="00786182"/>
    <w:rsid w:val="00794EA4"/>
    <w:rsid w:val="007B4464"/>
    <w:rsid w:val="00816BB2"/>
    <w:rsid w:val="008349E7"/>
    <w:rsid w:val="008414F6"/>
    <w:rsid w:val="00853F9E"/>
    <w:rsid w:val="00855E47"/>
    <w:rsid w:val="00894C96"/>
    <w:rsid w:val="00896712"/>
    <w:rsid w:val="008E5668"/>
    <w:rsid w:val="008F706D"/>
    <w:rsid w:val="00945305"/>
    <w:rsid w:val="00946D6F"/>
    <w:rsid w:val="0096780B"/>
    <w:rsid w:val="009718A8"/>
    <w:rsid w:val="00976D36"/>
    <w:rsid w:val="009C712C"/>
    <w:rsid w:val="009D7927"/>
    <w:rsid w:val="009E6461"/>
    <w:rsid w:val="00A12180"/>
    <w:rsid w:val="00A37AD8"/>
    <w:rsid w:val="00A66109"/>
    <w:rsid w:val="00AA142F"/>
    <w:rsid w:val="00AF25C9"/>
    <w:rsid w:val="00B15320"/>
    <w:rsid w:val="00B170B0"/>
    <w:rsid w:val="00B20DC3"/>
    <w:rsid w:val="00B232E6"/>
    <w:rsid w:val="00B315F3"/>
    <w:rsid w:val="00B86E38"/>
    <w:rsid w:val="00BB10FC"/>
    <w:rsid w:val="00BE1054"/>
    <w:rsid w:val="00BE7649"/>
    <w:rsid w:val="00C21492"/>
    <w:rsid w:val="00C418F5"/>
    <w:rsid w:val="00CC1174"/>
    <w:rsid w:val="00CE4C2D"/>
    <w:rsid w:val="00CE755E"/>
    <w:rsid w:val="00D25268"/>
    <w:rsid w:val="00D264B9"/>
    <w:rsid w:val="00D71400"/>
    <w:rsid w:val="00DA0B17"/>
    <w:rsid w:val="00DE3A25"/>
    <w:rsid w:val="00DE4245"/>
    <w:rsid w:val="00DF42C4"/>
    <w:rsid w:val="00DF688D"/>
    <w:rsid w:val="00E0205F"/>
    <w:rsid w:val="00E039B0"/>
    <w:rsid w:val="00E35F22"/>
    <w:rsid w:val="00E40650"/>
    <w:rsid w:val="00E44B04"/>
    <w:rsid w:val="00E519C7"/>
    <w:rsid w:val="00E54036"/>
    <w:rsid w:val="00E669B9"/>
    <w:rsid w:val="00E71FEE"/>
    <w:rsid w:val="00E818B1"/>
    <w:rsid w:val="00E86E79"/>
    <w:rsid w:val="00EB1655"/>
    <w:rsid w:val="00F15E91"/>
    <w:rsid w:val="00F242CA"/>
    <w:rsid w:val="00F87F1E"/>
    <w:rsid w:val="00FB0E32"/>
    <w:rsid w:val="00FC3F68"/>
    <w:rsid w:val="00FD2D00"/>
    <w:rsid w:val="00FF453A"/>
    <w:rsid w:val="018E53BB"/>
    <w:rsid w:val="01B752BF"/>
    <w:rsid w:val="02F2691F"/>
    <w:rsid w:val="05273E55"/>
    <w:rsid w:val="06EB1AB6"/>
    <w:rsid w:val="099D6B31"/>
    <w:rsid w:val="09FD66D9"/>
    <w:rsid w:val="10B242CF"/>
    <w:rsid w:val="11F4604E"/>
    <w:rsid w:val="136D16FB"/>
    <w:rsid w:val="13AA21BF"/>
    <w:rsid w:val="1A3D2C72"/>
    <w:rsid w:val="1D5C18BD"/>
    <w:rsid w:val="216937C4"/>
    <w:rsid w:val="257C1CB8"/>
    <w:rsid w:val="298605CB"/>
    <w:rsid w:val="2CEF036C"/>
    <w:rsid w:val="32A31C4C"/>
    <w:rsid w:val="32B53CA7"/>
    <w:rsid w:val="33CD2241"/>
    <w:rsid w:val="34967CFD"/>
    <w:rsid w:val="39C2416B"/>
    <w:rsid w:val="3AB4560C"/>
    <w:rsid w:val="3B744E3E"/>
    <w:rsid w:val="3DC91A1B"/>
    <w:rsid w:val="3F235BB1"/>
    <w:rsid w:val="3F663581"/>
    <w:rsid w:val="42A44BF6"/>
    <w:rsid w:val="4571549B"/>
    <w:rsid w:val="471274FD"/>
    <w:rsid w:val="49717ADD"/>
    <w:rsid w:val="4A51609B"/>
    <w:rsid w:val="4C194D3B"/>
    <w:rsid w:val="4D304C6C"/>
    <w:rsid w:val="4F2A6A41"/>
    <w:rsid w:val="500373A2"/>
    <w:rsid w:val="507C6383"/>
    <w:rsid w:val="53AD746D"/>
    <w:rsid w:val="561769D4"/>
    <w:rsid w:val="58D844B0"/>
    <w:rsid w:val="5F4A1A8C"/>
    <w:rsid w:val="60075621"/>
    <w:rsid w:val="602001C2"/>
    <w:rsid w:val="60CE32E1"/>
    <w:rsid w:val="649A7590"/>
    <w:rsid w:val="64C00985"/>
    <w:rsid w:val="65225D26"/>
    <w:rsid w:val="65DB5CBA"/>
    <w:rsid w:val="674E6C15"/>
    <w:rsid w:val="67636EEB"/>
    <w:rsid w:val="697609B2"/>
    <w:rsid w:val="69F4671F"/>
    <w:rsid w:val="6BA53F12"/>
    <w:rsid w:val="6CBF282C"/>
    <w:rsid w:val="70E81256"/>
    <w:rsid w:val="73335BEE"/>
    <w:rsid w:val="734B3BFA"/>
    <w:rsid w:val="73753308"/>
    <w:rsid w:val="743444A4"/>
    <w:rsid w:val="74B61AFD"/>
    <w:rsid w:val="79442C5B"/>
    <w:rsid w:val="7BB011B5"/>
    <w:rsid w:val="7C2A2F43"/>
    <w:rsid w:val="7EAD4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unhideWhenUsed/>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脚 Char"/>
    <w:basedOn w:val="8"/>
    <w:link w:val="4"/>
    <w:qFormat/>
    <w:uiPriority w:val="99"/>
    <w:rPr>
      <w:kern w:val="2"/>
      <w:sz w:val="18"/>
      <w:szCs w:val="18"/>
    </w:rPr>
  </w:style>
  <w:style w:type="character" w:customStyle="1" w:styleId="10">
    <w:name w:val="页眉 Char"/>
    <w:basedOn w:val="8"/>
    <w:link w:val="5"/>
    <w:qFormat/>
    <w:uiPriority w:val="0"/>
    <w:rPr>
      <w:kern w:val="2"/>
      <w:sz w:val="18"/>
      <w:szCs w:val="18"/>
    </w:rPr>
  </w:style>
  <w:style w:type="character" w:customStyle="1" w:styleId="11">
    <w:name w:val="font11"/>
    <w:basedOn w:val="8"/>
    <w:qFormat/>
    <w:uiPriority w:val="0"/>
    <w:rPr>
      <w:rFonts w:hint="eastAsia" w:ascii="宋体" w:hAnsi="宋体" w:eastAsia="宋体" w:cs="宋体"/>
      <w:color w:val="000000"/>
      <w:sz w:val="20"/>
      <w:szCs w:val="20"/>
      <w:u w:val="none"/>
    </w:rPr>
  </w:style>
  <w:style w:type="character" w:customStyle="1" w:styleId="12">
    <w:name w:val="font01"/>
    <w:basedOn w:val="8"/>
    <w:qFormat/>
    <w:uiPriority w:val="0"/>
    <w:rPr>
      <w:rFonts w:hint="eastAsia" w:ascii="宋体" w:hAnsi="宋体" w:eastAsia="宋体" w:cs="宋体"/>
      <w:color w:val="000000"/>
      <w:sz w:val="22"/>
      <w:szCs w:val="22"/>
      <w:u w:val="none"/>
    </w:rPr>
  </w:style>
  <w:style w:type="character" w:customStyle="1" w:styleId="13">
    <w:name w:val="font41"/>
    <w:basedOn w:val="8"/>
    <w:qFormat/>
    <w:uiPriority w:val="0"/>
    <w:rPr>
      <w:rFonts w:hint="eastAsia" w:ascii="宋体" w:hAnsi="宋体" w:eastAsia="宋体" w:cs="宋体"/>
      <w:color w:val="000000"/>
      <w:sz w:val="24"/>
      <w:szCs w:val="24"/>
      <w:u w:val="none"/>
    </w:rPr>
  </w:style>
  <w:style w:type="character" w:customStyle="1" w:styleId="14">
    <w:name w:val="font31"/>
    <w:basedOn w:val="8"/>
    <w:qFormat/>
    <w:uiPriority w:val="0"/>
    <w:rPr>
      <w:rFonts w:hint="eastAsia" w:ascii="华文中宋" w:hAnsi="华文中宋" w:eastAsia="华文中宋" w:cs="华文中宋"/>
      <w:color w:val="000000"/>
      <w:sz w:val="32"/>
      <w:szCs w:val="32"/>
      <w:u w:val="none"/>
    </w:rPr>
  </w:style>
  <w:style w:type="character" w:customStyle="1" w:styleId="15">
    <w:name w:val="font91"/>
    <w:basedOn w:val="8"/>
    <w:qFormat/>
    <w:uiPriority w:val="0"/>
    <w:rPr>
      <w:rFonts w:hint="eastAsia" w:ascii="华文中宋" w:hAnsi="华文中宋" w:eastAsia="华文中宋" w:cs="华文中宋"/>
      <w:color w:val="000000"/>
      <w:sz w:val="32"/>
      <w:szCs w:val="32"/>
      <w:u w:val="none"/>
    </w:rPr>
  </w:style>
  <w:style w:type="character" w:customStyle="1" w:styleId="16">
    <w:name w:val="font51"/>
    <w:basedOn w:val="8"/>
    <w:qFormat/>
    <w:uiPriority w:val="0"/>
    <w:rPr>
      <w:rFonts w:hint="eastAsia" w:ascii="宋体" w:hAnsi="宋体" w:eastAsia="宋体" w:cs="宋体"/>
      <w:color w:val="000000"/>
      <w:sz w:val="24"/>
      <w:szCs w:val="24"/>
      <w:u w:val="none"/>
    </w:rPr>
  </w:style>
  <w:style w:type="character" w:customStyle="1" w:styleId="17">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B1A101-276A-4020-9775-9217EF4C67B3}">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1741</Words>
  <Characters>9926</Characters>
  <Lines>82</Lines>
  <Paragraphs>23</Paragraphs>
  <TotalTime>316</TotalTime>
  <ScaleCrop>false</ScaleCrop>
  <LinksUpToDate>false</LinksUpToDate>
  <CharactersWithSpaces>11644</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2023-08-04T07:55:00Z</dcterms:created>
  <dc:creator>王明新TIAD</dc:creator>
  <cp:lastModifiedBy>不二臣</cp:lastModifiedBy>
  <cp:lastPrinted>2023-08-04T01:00:00Z</cp:lastPrinted>
  <dcterms:modified xsi:type="dcterms:W3CDTF">2024-11-04T08:33:27Z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KSOTemplateUUID">
    <vt:lpwstr>v1.0_mb_S7ajbG3IpAnL1wSthNCxfw==</vt:lpwstr>
  </property>
  <property fmtid="{D5CDD505-2E9C-101B-9397-08002B2CF9AE}" pid="4" name="ICV">
    <vt:lpwstr>6388C71828994EE68F92E15B0CED978C</vt:lpwstr>
  </property>
</Properties>
</file>