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eastAsia="方正小标宋简体"/>
          <w:lang w:eastAsia="zh-CN"/>
        </w:rPr>
      </w:pPr>
      <w:bookmarkStart w:id="0" w:name="_Toc10614"/>
      <w:bookmarkStart w:id="1" w:name="_Toc28802"/>
      <w:bookmarkStart w:id="2" w:name="_Toc11652"/>
      <w:r>
        <w:rPr>
          <w:rFonts w:hint="eastAsia"/>
          <w:lang w:eastAsia="zh-CN"/>
        </w:rPr>
        <w:t>沙河市</w:t>
      </w:r>
      <w:r>
        <w:rPr>
          <w:rFonts w:hint="eastAsia"/>
        </w:rPr>
        <w:t>2023年畜禽种业工程</w:t>
      </w:r>
      <w:bookmarkEnd w:id="0"/>
      <w:bookmarkEnd w:id="1"/>
      <w:bookmarkEnd w:id="2"/>
      <w:bookmarkStart w:id="3" w:name="_Toc23628"/>
      <w:bookmarkStart w:id="4" w:name="_Toc5002"/>
      <w:bookmarkStart w:id="5" w:name="_Toc20565"/>
      <w:bookmarkStart w:id="6" w:name="_Toc20550"/>
      <w:r>
        <w:rPr>
          <w:rFonts w:hint="eastAsia"/>
          <w:lang w:eastAsia="zh-CN"/>
        </w:rPr>
        <w:t>项目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实施方案</w:t>
      </w:r>
      <w:bookmarkEnd w:id="3"/>
      <w:bookmarkEnd w:id="4"/>
      <w:bookmarkEnd w:id="5"/>
      <w:bookmarkEnd w:id="6"/>
    </w:p>
    <w:p>
      <w:pPr>
        <w:autoSpaceDE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20"/>
        </w:rPr>
      </w:pPr>
    </w:p>
    <w:p>
      <w:pPr>
        <w:autoSpaceDE w:val="0"/>
        <w:spacing w:line="560" w:lineRule="exact"/>
        <w:ind w:firstLine="640" w:firstLineChars="200"/>
        <w:jc w:val="left"/>
        <w:outlineLvl w:val="0"/>
        <w:rPr>
          <w:rFonts w:hAnsi="Times New Roman"/>
          <w:szCs w:val="20"/>
        </w:rPr>
      </w:pPr>
      <w:bookmarkStart w:id="7" w:name="_Toc3548"/>
      <w:bookmarkStart w:id="8" w:name="_Toc21688"/>
      <w:bookmarkStart w:id="9" w:name="_Toc25219"/>
      <w:bookmarkStart w:id="10" w:name="_Toc461"/>
      <w:r>
        <w:rPr>
          <w:rFonts w:ascii="黑体" w:hAnsi="黑体" w:eastAsia="黑体"/>
          <w:sz w:val="32"/>
          <w:szCs w:val="20"/>
        </w:rPr>
        <w:t>一、项目概况</w:t>
      </w:r>
      <w:bookmarkEnd w:id="7"/>
      <w:bookmarkEnd w:id="8"/>
      <w:bookmarkEnd w:id="9"/>
      <w:bookmarkEnd w:id="10"/>
      <w:bookmarkStart w:id="23" w:name="_GoBack"/>
      <w:bookmarkEnd w:id="23"/>
    </w:p>
    <w:p>
      <w:pPr>
        <w:autoSpaceDE w:val="0"/>
        <w:spacing w:line="560" w:lineRule="exact"/>
        <w:jc w:val="left"/>
        <w:rPr>
          <w:rFonts w:hAnsi="Times New Roman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 xml:space="preserve">    全面落实国家《种业振兴行动方案》《河北省种业振兴行动实施方案》和《河北省“十四五”现代种业发展规划》，按照国家“一年开好头、三年打基础、五年见成效、十年实现重大突破”的总体安排，实施种质资源保护利用、种业基地提升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两</w:t>
      </w:r>
      <w:r>
        <w:rPr>
          <w:rFonts w:ascii="仿宋_GB2312" w:hAnsi="仿宋_GB2312" w:eastAsia="仿宋_GB2312"/>
          <w:sz w:val="32"/>
          <w:szCs w:val="20"/>
        </w:rPr>
        <w:t>大行动。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2023年省级预算安排畜禽种业工程（列入农业科技成果转化及推广专项）80万元。通过项目实施，</w:t>
      </w:r>
      <w:r>
        <w:rPr>
          <w:rFonts w:ascii="仿宋_GB2312" w:hAnsi="仿宋_GB2312" w:eastAsia="仿宋_GB2312"/>
          <w:sz w:val="32"/>
          <w:szCs w:val="20"/>
        </w:rPr>
        <w:t>着力提高资源保护、育种创新能力，建立健全现代畜禽种业体系，着力创新育种体制机制，促进产学研紧密合作，提升自主创新能力，着力打造具有市场竞争力的育繁推一体化企业，提升畜禽供种保障能力和生产水平，全面提高我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市</w:t>
      </w:r>
      <w:r>
        <w:rPr>
          <w:rFonts w:ascii="仿宋_GB2312" w:hAnsi="仿宋_GB2312" w:eastAsia="仿宋_GB2312"/>
          <w:sz w:val="32"/>
          <w:szCs w:val="20"/>
        </w:rPr>
        <w:t>畜禽种业核心竞争力，促进畜牧业高质量发展。</w:t>
      </w:r>
    </w:p>
    <w:p>
      <w:pPr>
        <w:autoSpaceDE w:val="0"/>
        <w:spacing w:line="560" w:lineRule="exact"/>
        <w:ind w:left="420"/>
        <w:jc w:val="left"/>
        <w:outlineLvl w:val="0"/>
        <w:rPr>
          <w:rFonts w:hAnsi="Times New Roman"/>
          <w:szCs w:val="20"/>
        </w:rPr>
      </w:pPr>
      <w:r>
        <w:rPr>
          <w:rFonts w:ascii="黑体" w:hAnsi="黑体" w:eastAsia="黑体"/>
          <w:sz w:val="32"/>
          <w:szCs w:val="20"/>
        </w:rPr>
        <w:t xml:space="preserve">  </w:t>
      </w:r>
      <w:bookmarkStart w:id="11" w:name="_Toc5418"/>
      <w:bookmarkStart w:id="12" w:name="_Toc20004"/>
      <w:bookmarkStart w:id="13" w:name="_Toc31155"/>
      <w:bookmarkStart w:id="14" w:name="_Toc9742"/>
      <w:r>
        <w:rPr>
          <w:rFonts w:ascii="黑体" w:hAnsi="黑体" w:eastAsia="黑体"/>
          <w:sz w:val="32"/>
          <w:szCs w:val="20"/>
        </w:rPr>
        <w:t>二、绩效任务目标</w:t>
      </w:r>
      <w:bookmarkEnd w:id="11"/>
      <w:bookmarkEnd w:id="12"/>
      <w:bookmarkEnd w:id="13"/>
      <w:bookmarkEnd w:id="14"/>
    </w:p>
    <w:p>
      <w:pPr>
        <w:autoSpaceDN w:val="0"/>
        <w:spacing w:line="560" w:lineRule="exact"/>
        <w:ind w:firstLine="640" w:firstLineChars="200"/>
        <w:rPr>
          <w:rFonts w:hAnsi="Times New Roman"/>
          <w:szCs w:val="20"/>
        </w:rPr>
      </w:pPr>
      <w:r>
        <w:rPr>
          <w:rFonts w:ascii="楷体" w:hAnsi="楷体" w:eastAsia="楷体"/>
          <w:sz w:val="32"/>
          <w:szCs w:val="20"/>
        </w:rPr>
        <w:t>（一）畜禽种质资源保护。</w:t>
      </w:r>
      <w:r>
        <w:rPr>
          <w:rFonts w:ascii="仿宋_GB2312" w:hAnsi="仿宋_GB2312" w:eastAsia="仿宋_GB2312"/>
          <w:sz w:val="32"/>
          <w:szCs w:val="20"/>
        </w:rPr>
        <w:t>保护列入国家和省畜禽遗传资源保护名录的太行鸡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1</w:t>
      </w:r>
      <w:r>
        <w:rPr>
          <w:rFonts w:ascii="仿宋_GB2312" w:hAnsi="仿宋_GB2312" w:eastAsia="仿宋_GB2312"/>
          <w:sz w:val="32"/>
          <w:szCs w:val="20"/>
        </w:rPr>
        <w:t>个地方品种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，</w:t>
      </w:r>
      <w:r>
        <w:rPr>
          <w:rFonts w:ascii="仿宋_GB2312" w:hAnsi="仿宋_GB2312" w:eastAsia="仿宋_GB2312"/>
          <w:sz w:val="32"/>
          <w:szCs w:val="20"/>
        </w:rPr>
        <w:t>做到活体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太行鸡品种</w:t>
      </w:r>
      <w:r>
        <w:rPr>
          <w:rFonts w:ascii="仿宋_GB2312" w:hAnsi="仿宋_GB2312" w:eastAsia="仿宋_GB2312"/>
          <w:sz w:val="32"/>
          <w:szCs w:val="20"/>
        </w:rPr>
        <w:t>应保尽保。</w:t>
      </w:r>
    </w:p>
    <w:p>
      <w:pPr>
        <w:autoSpaceDE w:val="0"/>
        <w:spacing w:line="560" w:lineRule="exact"/>
        <w:ind w:firstLine="640" w:firstLineChars="200"/>
        <w:rPr>
          <w:rFonts w:hAnsi="Times New Roman"/>
          <w:szCs w:val="20"/>
        </w:rPr>
      </w:pPr>
      <w:r>
        <w:rPr>
          <w:rFonts w:ascii="楷体" w:hAnsi="楷体" w:eastAsia="楷体"/>
          <w:sz w:val="32"/>
          <w:szCs w:val="20"/>
        </w:rPr>
        <w:t>（二）畜禽种业企业提档升级。</w:t>
      </w:r>
      <w:r>
        <w:rPr>
          <w:rFonts w:ascii="仿宋_GB2312" w:hAnsi="仿宋_GB2312" w:eastAsia="仿宋_GB2312"/>
          <w:sz w:val="32"/>
          <w:szCs w:val="20"/>
        </w:rPr>
        <w:t>企业扶优扶强，对具有产业主导能力的育繁推一体化和承接省级种业基地建设的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河北冀禽牧业科技有限责任公司</w:t>
      </w:r>
      <w:r>
        <w:rPr>
          <w:rFonts w:ascii="仿宋_GB2312" w:hAnsi="仿宋_GB2312" w:eastAsia="仿宋_GB2312"/>
          <w:sz w:val="32"/>
          <w:szCs w:val="20"/>
        </w:rPr>
        <w:t>予以重点扶持。提升打造供种基地，培育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种业</w:t>
      </w:r>
      <w:r>
        <w:rPr>
          <w:rFonts w:ascii="仿宋_GB2312" w:hAnsi="仿宋_GB2312" w:eastAsia="仿宋_GB2312"/>
          <w:sz w:val="32"/>
          <w:szCs w:val="20"/>
        </w:rPr>
        <w:t>龙头企业，提高畜禽供种能力和质量，供种能力</w:t>
      </w:r>
      <w:r>
        <w:rPr>
          <w:rFonts w:hint="eastAsia" w:ascii="仿宋_GB2312" w:hAnsi="仿宋_GB2312" w:eastAsia="仿宋_GB2312"/>
          <w:sz w:val="32"/>
          <w:szCs w:val="20"/>
        </w:rPr>
        <w:t>提升</w:t>
      </w:r>
      <w:r>
        <w:rPr>
          <w:rFonts w:ascii="仿宋_GB2312" w:hAnsi="仿宋_GB2312" w:eastAsia="仿宋_GB2312"/>
          <w:sz w:val="32"/>
          <w:szCs w:val="20"/>
        </w:rPr>
        <w:t>10%。</w:t>
      </w:r>
    </w:p>
    <w:p>
      <w:pPr>
        <w:autoSpaceDN w:val="0"/>
        <w:spacing w:line="560" w:lineRule="exact"/>
        <w:ind w:firstLine="640" w:firstLineChars="200"/>
        <w:outlineLvl w:val="0"/>
        <w:rPr>
          <w:rFonts w:hAnsi="Times New Roman"/>
          <w:szCs w:val="20"/>
        </w:rPr>
      </w:pPr>
      <w:bookmarkStart w:id="15" w:name="_Toc32627"/>
      <w:bookmarkStart w:id="16" w:name="_Toc7904"/>
      <w:bookmarkStart w:id="17" w:name="_Toc13528"/>
      <w:bookmarkStart w:id="18" w:name="_Toc29849"/>
      <w:r>
        <w:rPr>
          <w:rFonts w:ascii="黑体" w:hAnsi="黑体" w:eastAsia="黑体"/>
          <w:sz w:val="32"/>
          <w:szCs w:val="20"/>
        </w:rPr>
        <w:t>三、</w:t>
      </w:r>
      <w:r>
        <w:rPr>
          <w:rFonts w:hint="eastAsia" w:ascii="黑体" w:hAnsi="黑体" w:eastAsia="黑体"/>
          <w:sz w:val="32"/>
          <w:szCs w:val="32"/>
        </w:rPr>
        <w:t>项目实施内容，资金支持方向和补助环节</w:t>
      </w:r>
      <w:bookmarkEnd w:id="15"/>
      <w:bookmarkEnd w:id="16"/>
      <w:bookmarkEnd w:id="17"/>
      <w:bookmarkEnd w:id="18"/>
    </w:p>
    <w:p>
      <w:pPr>
        <w:autoSpaceDN w:val="0"/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主要用于畜禽遗传资源保护、畜禽种业企业提档升级。其中，畜禽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遗传</w:t>
      </w:r>
      <w:r>
        <w:rPr>
          <w:rFonts w:ascii="仿宋_GB2312" w:hAnsi="仿宋_GB2312" w:eastAsia="仿宋_GB2312"/>
          <w:sz w:val="32"/>
          <w:szCs w:val="20"/>
        </w:rPr>
        <w:t>资源保护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项目</w:t>
      </w:r>
      <w:r>
        <w:rPr>
          <w:rFonts w:ascii="仿宋_GB2312" w:hAnsi="仿宋_GB2312" w:eastAsia="仿宋_GB2312"/>
          <w:sz w:val="32"/>
          <w:szCs w:val="20"/>
        </w:rPr>
        <w:t>不要求自筹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资金</w:t>
      </w:r>
      <w:r>
        <w:rPr>
          <w:rFonts w:hint="eastAsia" w:ascii="仿宋_GB2312" w:hAnsi="仿宋_GB2312" w:eastAsia="仿宋_GB2312"/>
          <w:sz w:val="32"/>
          <w:szCs w:val="20"/>
        </w:rPr>
        <w:t>；</w:t>
      </w:r>
      <w:r>
        <w:rPr>
          <w:rFonts w:ascii="仿宋_GB2312" w:hAnsi="仿宋_GB2312" w:eastAsia="仿宋_GB2312"/>
          <w:sz w:val="32"/>
          <w:szCs w:val="20"/>
        </w:rPr>
        <w:t>提档升级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项目要求</w:t>
      </w:r>
      <w:r>
        <w:rPr>
          <w:rFonts w:hint="eastAsia" w:ascii="仿宋_GB2312" w:hAnsi="仿宋_GB2312" w:eastAsia="仿宋_GB2312"/>
          <w:sz w:val="32"/>
          <w:szCs w:val="20"/>
        </w:rPr>
        <w:t>自筹资金比例不得低于5</w:t>
      </w:r>
      <w:r>
        <w:rPr>
          <w:rFonts w:ascii="仿宋_GB2312" w:hAnsi="仿宋_GB2312" w:eastAsia="仿宋_GB2312"/>
          <w:sz w:val="32"/>
          <w:szCs w:val="20"/>
        </w:rPr>
        <w:t>0</w:t>
      </w:r>
      <w:r>
        <w:rPr>
          <w:rFonts w:hint="eastAsia" w:ascii="仿宋_GB2312" w:hAnsi="仿宋_GB2312" w:eastAsia="仿宋_GB2312"/>
          <w:sz w:val="32"/>
          <w:szCs w:val="20"/>
        </w:rPr>
        <w:t>%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20"/>
        </w:rPr>
        <w:t>饲草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饲</w:t>
      </w:r>
      <w:r>
        <w:rPr>
          <w:rFonts w:hint="eastAsia" w:ascii="仿宋_GB2312" w:hAnsi="仿宋_GB2312" w:eastAsia="仿宋_GB2312"/>
          <w:sz w:val="32"/>
          <w:szCs w:val="20"/>
        </w:rPr>
        <w:t>料、兽药等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可从</w:t>
      </w:r>
      <w:r>
        <w:rPr>
          <w:rFonts w:hint="eastAsia" w:ascii="仿宋_GB2312" w:hAnsi="仿宋_GB2312" w:eastAsia="仿宋_GB2312"/>
          <w:sz w:val="32"/>
          <w:szCs w:val="20"/>
        </w:rPr>
        <w:t>自筹资金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列支，但不得超出自筹资金总额的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>50%，</w:t>
      </w:r>
      <w:r>
        <w:rPr>
          <w:rFonts w:hint="eastAsia" w:ascii="仿宋_GB2312" w:hAnsi="仿宋_GB2312" w:eastAsia="仿宋_GB2312"/>
          <w:sz w:val="32"/>
          <w:szCs w:val="20"/>
        </w:rPr>
        <w:t>财政补助资金不得用于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该项支出</w:t>
      </w:r>
      <w:r>
        <w:rPr>
          <w:rFonts w:hint="eastAsia" w:ascii="仿宋_GB2312" w:hAnsi="仿宋_GB2312" w:eastAsia="仿宋_GB2312"/>
          <w:sz w:val="32"/>
          <w:szCs w:val="20"/>
        </w:rPr>
        <w:t>。</w:t>
      </w:r>
    </w:p>
    <w:p>
      <w:pPr>
        <w:pStyle w:val="9"/>
        <w:numPr>
          <w:ilvl w:val="0"/>
          <w:numId w:val="1"/>
        </w:numPr>
        <w:autoSpaceDN w:val="0"/>
        <w:spacing w:line="579" w:lineRule="exact"/>
        <w:ind w:firstLineChars="0"/>
        <w:rPr>
          <w:rFonts w:ascii="楷体" w:hAnsi="楷体" w:eastAsia="楷体"/>
          <w:sz w:val="32"/>
          <w:szCs w:val="20"/>
        </w:rPr>
      </w:pPr>
      <w:r>
        <w:rPr>
          <w:rFonts w:ascii="楷体" w:hAnsi="楷体" w:eastAsia="楷体"/>
          <w:sz w:val="32"/>
          <w:szCs w:val="20"/>
        </w:rPr>
        <w:t>畜禽种质资源保护。</w:t>
      </w:r>
    </w:p>
    <w:p>
      <w:pPr>
        <w:autoSpaceDN w:val="0"/>
        <w:spacing w:line="579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1</w:t>
      </w:r>
      <w:r>
        <w:rPr>
          <w:rFonts w:ascii="仿宋_GB2312" w:hAnsi="仿宋_GB2312" w:eastAsia="仿宋_GB2312"/>
          <w:sz w:val="32"/>
          <w:szCs w:val="20"/>
        </w:rPr>
        <w:t>.</w:t>
      </w:r>
      <w:r>
        <w:rPr>
          <w:rFonts w:hint="eastAsia" w:ascii="仿宋_GB2312" w:hAnsi="仿宋_GB2312" w:eastAsia="仿宋_GB2312"/>
          <w:sz w:val="32"/>
          <w:szCs w:val="20"/>
        </w:rPr>
        <w:t>实施内容和支持方向。</w:t>
      </w:r>
      <w:r>
        <w:rPr>
          <w:rFonts w:ascii="仿宋_GB2312" w:hAnsi="仿宋_GB2312" w:eastAsia="仿宋_GB2312"/>
          <w:sz w:val="32"/>
          <w:szCs w:val="20"/>
        </w:rPr>
        <w:t>主要支持保种场改善保种条件和水平，建立和保持地方畜禽遗传资源的核心群规模，提高地方畜禽资源的安全水平和保种效率。</w:t>
      </w:r>
    </w:p>
    <w:p>
      <w:pPr>
        <w:autoSpaceDN w:val="0"/>
        <w:spacing w:line="579" w:lineRule="exact"/>
        <w:ind w:firstLine="640" w:firstLineChars="200"/>
        <w:rPr>
          <w:rFonts w:hAnsi="Times New Roman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2</w:t>
      </w:r>
      <w:r>
        <w:rPr>
          <w:rFonts w:ascii="仿宋_GB2312" w:hAnsi="仿宋_GB2312" w:eastAsia="仿宋_GB2312"/>
          <w:sz w:val="32"/>
          <w:szCs w:val="20"/>
        </w:rPr>
        <w:t>.</w:t>
      </w:r>
      <w:r>
        <w:rPr>
          <w:rFonts w:hint="eastAsia" w:ascii="仿宋_GB2312" w:hAnsi="仿宋_GB2312" w:eastAsia="仿宋_GB2312"/>
          <w:sz w:val="32"/>
          <w:szCs w:val="20"/>
        </w:rPr>
        <w:t>补助环节。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资金主要用于畜禽饲养、生物安全防护，及相关保种所需设备设施购置、更新、维护等环节。</w:t>
      </w:r>
    </w:p>
    <w:p>
      <w:pPr>
        <w:autoSpaceDE w:val="0"/>
        <w:spacing w:line="560" w:lineRule="exact"/>
        <w:ind w:firstLine="640" w:firstLineChars="200"/>
        <w:rPr>
          <w:rFonts w:ascii="楷体" w:hAnsi="楷体" w:eastAsia="楷体"/>
          <w:sz w:val="32"/>
          <w:szCs w:val="20"/>
        </w:rPr>
      </w:pPr>
      <w:r>
        <w:rPr>
          <w:rFonts w:hint="eastAsia" w:ascii="楷体" w:hAnsi="楷体" w:eastAsia="楷体"/>
          <w:sz w:val="32"/>
          <w:szCs w:val="20"/>
        </w:rPr>
        <w:t>（二）</w:t>
      </w:r>
      <w:r>
        <w:rPr>
          <w:rFonts w:ascii="楷体" w:hAnsi="楷体" w:eastAsia="楷体"/>
          <w:sz w:val="32"/>
          <w:szCs w:val="20"/>
        </w:rPr>
        <w:t>畜禽种业企业提档升级。</w:t>
      </w:r>
    </w:p>
    <w:p>
      <w:pPr>
        <w:autoSpaceDE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1.</w:t>
      </w:r>
      <w:r>
        <w:rPr>
          <w:rFonts w:hint="eastAsia" w:ascii="仿宋_GB2312" w:hAnsi="仿宋_GB2312" w:eastAsia="仿宋_GB2312"/>
          <w:sz w:val="32"/>
          <w:szCs w:val="20"/>
        </w:rPr>
        <w:t>实施内容和支持方向。</w:t>
      </w:r>
      <w:r>
        <w:rPr>
          <w:rFonts w:ascii="仿宋_GB2312" w:hAnsi="仿宋_GB2312" w:eastAsia="仿宋_GB2312"/>
          <w:sz w:val="32"/>
          <w:szCs w:val="20"/>
        </w:rPr>
        <w:t>以保障优良畜禽供应为目标，</w:t>
      </w:r>
      <w:r>
        <w:rPr>
          <w:rFonts w:hint="eastAsia" w:ascii="仿宋_GB2312" w:hAnsi="仿宋_GB2312" w:eastAsia="仿宋_GB2312"/>
          <w:sz w:val="32"/>
          <w:szCs w:val="20"/>
        </w:rPr>
        <w:t>提升</w:t>
      </w:r>
      <w:r>
        <w:rPr>
          <w:rFonts w:ascii="仿宋_GB2312" w:hAnsi="仿宋_GB2312" w:eastAsia="仿宋_GB2312"/>
          <w:sz w:val="32"/>
          <w:szCs w:val="20"/>
        </w:rPr>
        <w:t>供种基地</w:t>
      </w:r>
      <w:r>
        <w:rPr>
          <w:rFonts w:hint="eastAsia" w:ascii="仿宋_GB2312" w:hAnsi="仿宋_GB2312" w:eastAsia="仿宋_GB2312"/>
          <w:sz w:val="32"/>
          <w:szCs w:val="20"/>
        </w:rPr>
        <w:t>规模和水平</w:t>
      </w:r>
      <w:r>
        <w:rPr>
          <w:rFonts w:ascii="仿宋_GB2312" w:hAnsi="仿宋_GB2312" w:eastAsia="仿宋_GB2312"/>
          <w:sz w:val="32"/>
          <w:szCs w:val="20"/>
        </w:rPr>
        <w:t>，培育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种业</w:t>
      </w:r>
      <w:r>
        <w:rPr>
          <w:rFonts w:ascii="仿宋_GB2312" w:hAnsi="仿宋_GB2312" w:eastAsia="仿宋_GB2312"/>
          <w:sz w:val="32"/>
          <w:szCs w:val="20"/>
        </w:rPr>
        <w:t>龙头企业，提高畜禽供种能力和质量。支持企业场区基础设施改扩建，</w:t>
      </w:r>
      <w:r>
        <w:rPr>
          <w:rFonts w:hint="eastAsia" w:ascii="仿宋_GB2312" w:hAnsi="仿宋_GB2312" w:eastAsia="仿宋_GB2312"/>
          <w:sz w:val="32"/>
          <w:szCs w:val="20"/>
        </w:rPr>
        <w:t>引进优质种源，</w:t>
      </w:r>
      <w:r>
        <w:rPr>
          <w:rFonts w:ascii="仿宋_GB2312" w:hAnsi="仿宋_GB2312" w:eastAsia="仿宋_GB2312"/>
          <w:sz w:val="32"/>
          <w:szCs w:val="20"/>
        </w:rPr>
        <w:t>加大核心群选育强度，提高本土化选育遗传进展，提高种畜禽生产水平与供种</w:t>
      </w:r>
      <w:r>
        <w:rPr>
          <w:rFonts w:hint="eastAsia" w:ascii="仿宋_GB2312" w:hAnsi="仿宋_GB2312" w:eastAsia="仿宋_GB2312"/>
          <w:sz w:val="32"/>
          <w:szCs w:val="20"/>
        </w:rPr>
        <w:t>保障</w:t>
      </w:r>
      <w:r>
        <w:rPr>
          <w:rFonts w:ascii="仿宋_GB2312" w:hAnsi="仿宋_GB2312" w:eastAsia="仿宋_GB2312"/>
          <w:sz w:val="32"/>
          <w:szCs w:val="20"/>
        </w:rPr>
        <w:t>能力。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2</w:t>
      </w:r>
      <w:r>
        <w:rPr>
          <w:rFonts w:ascii="仿宋_GB2312" w:hAnsi="仿宋_GB2312" w:eastAsia="仿宋_GB2312"/>
          <w:sz w:val="32"/>
          <w:szCs w:val="20"/>
        </w:rPr>
        <w:t>.</w:t>
      </w:r>
      <w:r>
        <w:rPr>
          <w:rFonts w:hint="eastAsia" w:ascii="仿宋_GB2312" w:hAnsi="仿宋_GB2312" w:eastAsia="仿宋_GB2312"/>
          <w:sz w:val="32"/>
          <w:szCs w:val="20"/>
        </w:rPr>
        <w:t>补助环节。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资金主要用于：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/>
          <w:sz w:val="32"/>
          <w:szCs w:val="20"/>
        </w:rPr>
        <w:t>改造提升棚舍基础设施设备，实验室仪器设备更新、维护等;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/>
          <w:sz w:val="32"/>
          <w:szCs w:val="20"/>
        </w:rPr>
        <w:t>企业开展生产性能测定，购买第三方检测机构服务和专业育种信息平台建设等；</w:t>
      </w:r>
      <w:r>
        <w:rPr>
          <w:rFonts w:hint="eastAsia" w:ascii="仿宋_GB2312" w:hAnsi="仿宋_GB2312" w:eastAsia="仿宋_GB2312"/>
          <w:b/>
          <w:bCs/>
          <w:sz w:val="32"/>
          <w:szCs w:val="20"/>
        </w:rPr>
        <w:t>三是</w:t>
      </w:r>
      <w:r>
        <w:rPr>
          <w:rFonts w:hint="eastAsia" w:ascii="仿宋_GB2312" w:hAnsi="仿宋_GB2312" w:eastAsia="仿宋_GB2312"/>
          <w:sz w:val="32"/>
          <w:szCs w:val="20"/>
        </w:rPr>
        <w:t>企业</w:t>
      </w:r>
      <w:r>
        <w:rPr>
          <w:rFonts w:hint="eastAsia" w:ascii="仿宋_GB2312" w:hAnsi="仿宋_GB2312" w:eastAsia="仿宋_GB2312"/>
          <w:sz w:val="32"/>
          <w:szCs w:val="32"/>
        </w:rPr>
        <w:t>引进优质种畜禽和胚胎、冷冻精液等遗传材料，扩大种群规模和数量，提高种畜禽生产性能和水平，提升自身供种能力。</w:t>
      </w:r>
    </w:p>
    <w:p>
      <w:pPr>
        <w:autoSpaceDN w:val="0"/>
        <w:spacing w:line="579" w:lineRule="exact"/>
        <w:ind w:firstLine="640" w:firstLineChars="200"/>
        <w:jc w:val="left"/>
        <w:rPr>
          <w:rFonts w:ascii="黑体" w:hAnsi="黑体" w:eastAsia="黑体"/>
          <w:sz w:val="32"/>
          <w:szCs w:val="20"/>
        </w:rPr>
      </w:pPr>
      <w:r>
        <w:rPr>
          <w:rFonts w:ascii="黑体" w:hAnsi="黑体" w:eastAsia="黑体"/>
          <w:sz w:val="32"/>
          <w:szCs w:val="20"/>
        </w:rPr>
        <w:t>四、项目资金</w:t>
      </w:r>
      <w:r>
        <w:rPr>
          <w:rFonts w:hint="eastAsia" w:ascii="黑体" w:hAnsi="黑体" w:eastAsia="黑体"/>
          <w:sz w:val="32"/>
          <w:szCs w:val="20"/>
        </w:rPr>
        <w:t>安排</w:t>
      </w:r>
      <w:r>
        <w:rPr>
          <w:rFonts w:ascii="黑体" w:hAnsi="黑体" w:eastAsia="黑体"/>
          <w:sz w:val="32"/>
          <w:szCs w:val="20"/>
        </w:rPr>
        <w:t>意见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55"/>
        <w:gridCol w:w="54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县别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种畜禽场名称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畜禽种质资源保护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沙河市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河北冀禽牧业科技有限责任公司（太行鸡）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畜禽种业企业提档升级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河北冀禽牧业科技有限责任公司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（一）加强组织领导。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农业农村主管部门</w:t>
      </w:r>
      <w:r>
        <w:rPr>
          <w:rFonts w:hint="eastAsia" w:ascii="仿宋_GB2312" w:hAnsi="Times New Roman" w:eastAsia="仿宋_GB2312"/>
          <w:sz w:val="32"/>
          <w:szCs w:val="32"/>
        </w:rPr>
        <w:t>要切实抓好项目的组织实施工作，要落实属地责任，明确分工，</w:t>
      </w:r>
      <w:r>
        <w:rPr>
          <w:rFonts w:ascii="仿宋_GB2312" w:hAnsi="Times New Roman" w:eastAsia="仿宋_GB2312"/>
          <w:sz w:val="32"/>
          <w:szCs w:val="32"/>
        </w:rPr>
        <w:t>督促指导项目承担单位抓好政策落实</w:t>
      </w:r>
      <w:r>
        <w:rPr>
          <w:rFonts w:hint="eastAsia" w:ascii="仿宋_GB2312" w:hAnsi="Times New Roman" w:eastAsia="仿宋_GB2312"/>
          <w:sz w:val="32"/>
          <w:szCs w:val="32"/>
        </w:rPr>
        <w:t>和</w:t>
      </w:r>
      <w:r>
        <w:rPr>
          <w:rFonts w:ascii="仿宋_GB2312" w:hAnsi="Times New Roman" w:eastAsia="仿宋_GB2312"/>
          <w:sz w:val="32"/>
          <w:szCs w:val="32"/>
        </w:rPr>
        <w:t>项目实施</w:t>
      </w:r>
      <w:r>
        <w:rPr>
          <w:rFonts w:hint="eastAsia" w:ascii="仿宋_GB2312" w:hAnsi="Times New Roman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（二）严格资金管理。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农业农村主管部门</w:t>
      </w:r>
      <w:r>
        <w:rPr>
          <w:rFonts w:hint="eastAsia" w:ascii="仿宋_GB2312" w:hAnsi="Times New Roman" w:eastAsia="仿宋_GB2312"/>
          <w:sz w:val="32"/>
          <w:szCs w:val="32"/>
        </w:rPr>
        <w:t>要完善项目管理等相关制度，切实加强项目督导检查，防止申报单位弄虚作假，套取专项资金，确保项目资金使用安全、规范、有效。项目承担单位要规范项目财务管理，不得挤占、挪用专项资金，改变资金使用用途，确保专账管理、专款专用，资金使用要符合支出范围，会计核算资料要规范、齐全，不得白条入账，不得以旧充新、弄虚作假，不得有大额现金支出。农业农村局须按要求及时填报河北省农业财政项目管理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（三）规范项目管理。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项目实施方案统一由市级审批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汇总后统一报省级备案。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项目承担单位按照市局审批的实施方案完成项目任务后，市、县农业农村局组织验收报省厅备案，及时向项目承担单位支付资金。 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19" w:name="_Toc22217"/>
      <w:bookmarkStart w:id="20" w:name="_Toc26018"/>
      <w:bookmarkStart w:id="21" w:name="_Toc18924"/>
      <w:bookmarkStart w:id="22" w:name="_Toc16486"/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方正大标宋简体"/>
          <w:sz w:val="32"/>
          <w:szCs w:val="2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方正大标宋简体"/>
          <w:sz w:val="32"/>
          <w:szCs w:val="20"/>
        </w:rPr>
        <w:t>2023年</w:t>
      </w:r>
      <w:r>
        <w:rPr>
          <w:rFonts w:hint="eastAsia" w:ascii="仿宋_GB2312" w:hAnsi="仿宋_GB2312" w:eastAsia="仿宋_GB2312" w:cs="方正大标宋简体"/>
          <w:sz w:val="32"/>
          <w:szCs w:val="20"/>
          <w:lang w:eastAsia="zh-CN"/>
        </w:rPr>
        <w:t>沙河市</w:t>
      </w:r>
      <w:r>
        <w:rPr>
          <w:rFonts w:hint="eastAsia" w:ascii="仿宋_GB2312" w:hAnsi="仿宋_GB2312" w:eastAsia="仿宋_GB2312" w:cs="方正大标宋简体"/>
          <w:sz w:val="32"/>
          <w:szCs w:val="20"/>
        </w:rPr>
        <w:t>畜禽种质资源保护项目实施方案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方正大标宋简体"/>
          <w:sz w:val="32"/>
          <w:szCs w:val="20"/>
        </w:rPr>
      </w:pPr>
      <w:r>
        <w:rPr>
          <w:rFonts w:hint="eastAsia" w:ascii="仿宋_GB2312" w:hAnsi="仿宋_GB2312" w:eastAsia="仿宋_GB2312" w:cs="方正大标宋简体"/>
          <w:sz w:val="32"/>
          <w:szCs w:val="20"/>
        </w:rPr>
        <w:t xml:space="preserve">      </w:t>
      </w:r>
      <w:r>
        <w:rPr>
          <w:rFonts w:ascii="仿宋_GB2312" w:hAnsi="仿宋_GB2312" w:eastAsia="仿宋_GB2312" w:cs="方正大标宋简体"/>
          <w:sz w:val="32"/>
          <w:szCs w:val="20"/>
        </w:rPr>
        <w:t xml:space="preserve"> </w:t>
      </w:r>
      <w:r>
        <w:rPr>
          <w:rFonts w:hint="eastAsia" w:ascii="仿宋_GB2312" w:hAnsi="仿宋_GB2312" w:eastAsia="仿宋_GB2312" w:cs="方正大标宋简体"/>
          <w:sz w:val="32"/>
          <w:szCs w:val="20"/>
        </w:rPr>
        <w:t>2.2023年</w:t>
      </w:r>
      <w:r>
        <w:rPr>
          <w:rFonts w:hint="eastAsia" w:ascii="仿宋_GB2312" w:hAnsi="仿宋_GB2312" w:eastAsia="仿宋_GB2312" w:cs="方正大标宋简体"/>
          <w:sz w:val="32"/>
          <w:szCs w:val="20"/>
          <w:lang w:eastAsia="zh-CN"/>
        </w:rPr>
        <w:t>沙河市</w:t>
      </w:r>
      <w:r>
        <w:rPr>
          <w:rFonts w:hint="eastAsia" w:ascii="仿宋_GB2312" w:hAnsi="仿宋_GB2312" w:eastAsia="仿宋_GB2312" w:cs="方正大标宋简体"/>
          <w:sz w:val="32"/>
          <w:szCs w:val="20"/>
        </w:rPr>
        <w:t>畜禽种业企业提档升级项目实施方案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7822E-77C2-4BFB-994D-500FB554CF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6FBB4F-5249-48E5-BBAC-E7DAD4B381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29CADE-39C5-4F4C-AC90-A52E5D83551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6B1819E-4FAF-483F-BE67-C7B4966C45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786DA5-9DFD-4740-BC43-42E7671096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87559E9-AF61-4D10-A9B6-F4283740082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90984066-2441-41F9-9C1A-ABED0FDFE7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0B18"/>
    <w:multiLevelType w:val="multilevel"/>
    <w:tmpl w:val="2A6E0B18"/>
    <w:lvl w:ilvl="0" w:tentative="0">
      <w:start w:val="1"/>
      <w:numFmt w:val="japaneseCounting"/>
      <w:lvlText w:val="（%1）"/>
      <w:lvlJc w:val="left"/>
      <w:pPr>
        <w:ind w:left="1630" w:hanging="968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570" w:hanging="488"/>
      </w:pPr>
      <w:rPr>
        <w:rFonts w:hint="default" w:ascii="仿宋_GB2312" w:hAnsi="仿宋_GB2312" w:eastAsia="仿宋_GB2312"/>
        <w:sz w:val="32"/>
      </w:rPr>
    </w:lvl>
    <w:lvl w:ilvl="2" w:tentative="0">
      <w:start w:val="1"/>
      <w:numFmt w:val="lowerRoman"/>
      <w:lvlText w:val="%3."/>
      <w:lvlJc w:val="right"/>
      <w:pPr>
        <w:ind w:left="1922" w:hanging="420"/>
      </w:pPr>
    </w:lvl>
    <w:lvl w:ilvl="3" w:tentative="0">
      <w:start w:val="1"/>
      <w:numFmt w:val="decimal"/>
      <w:lvlText w:val="%4."/>
      <w:lvlJc w:val="left"/>
      <w:pPr>
        <w:ind w:left="2342" w:hanging="420"/>
      </w:pPr>
    </w:lvl>
    <w:lvl w:ilvl="4" w:tentative="0">
      <w:start w:val="1"/>
      <w:numFmt w:val="lowerLetter"/>
      <w:lvlText w:val="%5)"/>
      <w:lvlJc w:val="left"/>
      <w:pPr>
        <w:ind w:left="2762" w:hanging="420"/>
      </w:pPr>
    </w:lvl>
    <w:lvl w:ilvl="5" w:tentative="0">
      <w:start w:val="1"/>
      <w:numFmt w:val="lowerRoman"/>
      <w:lvlText w:val="%6."/>
      <w:lvlJc w:val="right"/>
      <w:pPr>
        <w:ind w:left="3182" w:hanging="420"/>
      </w:pPr>
    </w:lvl>
    <w:lvl w:ilvl="6" w:tentative="0">
      <w:start w:val="1"/>
      <w:numFmt w:val="decimal"/>
      <w:lvlText w:val="%7."/>
      <w:lvlJc w:val="left"/>
      <w:pPr>
        <w:ind w:left="3602" w:hanging="420"/>
      </w:pPr>
    </w:lvl>
    <w:lvl w:ilvl="7" w:tentative="0">
      <w:start w:val="1"/>
      <w:numFmt w:val="lowerLetter"/>
      <w:lvlText w:val="%8)"/>
      <w:lvlJc w:val="left"/>
      <w:pPr>
        <w:ind w:left="4022" w:hanging="420"/>
      </w:pPr>
    </w:lvl>
    <w:lvl w:ilvl="8" w:tentative="0">
      <w:start w:val="1"/>
      <w:numFmt w:val="lowerRoman"/>
      <w:lvlText w:val="%9."/>
      <w:lvlJc w:val="right"/>
      <w:pPr>
        <w:ind w:left="44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GMzNTc2YThmNzhiZWE4MTI5MTVjNDcyMDZhZmIifQ=="/>
  </w:docVars>
  <w:rsids>
    <w:rsidRoot w:val="00000000"/>
    <w:rsid w:val="04AB47B0"/>
    <w:rsid w:val="09A300F5"/>
    <w:rsid w:val="0A387574"/>
    <w:rsid w:val="3CCC7074"/>
    <w:rsid w:val="5DEE4AEC"/>
    <w:rsid w:val="6D8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0" w:afterAutospacing="0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8"/>
    <w:qFormat/>
    <w:uiPriority w:val="0"/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8">
    <w:name w:val="UserStyle_4"/>
    <w:link w:val="7"/>
    <w:qFormat/>
    <w:uiPriority w:val="0"/>
    <w:pPr>
      <w:spacing w:line="240" w:lineRule="atLeast"/>
      <w:jc w:val="center"/>
      <w:textAlignment w:val="baseline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1496</Words>
  <Characters>1526</Characters>
  <Lines>0</Lines>
  <Paragraphs>0</Paragraphs>
  <TotalTime>0</TotalTime>
  <ScaleCrop>false</ScaleCrop>
  <LinksUpToDate>false</LinksUpToDate>
  <CharactersWithSpaces>1541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2023-01-20T01:00:00Z</dcterms:created>
  <dc:creator>Administrator</dc:creator>
  <cp:lastModifiedBy>猫哥</cp:lastModifiedBy>
  <dcterms:modified xsi:type="dcterms:W3CDTF">2023-03-01T06:52:06Z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3C3A6E8602B14588B1F34BFE614DF24F</vt:lpwstr>
  </property>
</Properties>
</file>