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FF0000"/>
          <w:sz w:val="44"/>
          <w:szCs w:val="44"/>
        </w:rPr>
      </w:pPr>
      <w:r>
        <w:rPr>
          <w:rFonts w:hint="eastAsia" w:ascii="方正小标宋简体" w:hAnsi="方正小标宋简体" w:eastAsia="方正小标宋简体" w:cs="方正小标宋简体"/>
          <w:sz w:val="44"/>
          <w:szCs w:val="44"/>
        </w:rPr>
        <w:t>中共沙河市委信访局</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lang w:val="en-US" w:eastAsia="zh-CN"/>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，现将201</w:t>
      </w:r>
      <w:r>
        <w:rPr>
          <w:rFonts w:hint="eastAsia" w:ascii="仿宋" w:hAnsi="仿宋" w:eastAsia="仿宋" w:cs="Times New Roman"/>
          <w:sz w:val="32"/>
          <w:szCs w:val="32"/>
          <w:lang w:val="en-US" w:eastAsia="zh-CN"/>
        </w:rPr>
        <w:t>9</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spacing w:line="610" w:lineRule="exact"/>
        <w:ind w:firstLine="640"/>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研究提出全市信访工作的思路，拟定信访工作有关措施、办法。</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办理人民群众来信，接待群众来访，查办信访案件；负责市委、市政府人民群众建议征集办公室工作。</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调查研究和综合分析全市信访形势及信访工作状况，及时向市委、市政府及市委办公室、市政府办公室提出对策和建议。</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（四）</w:t>
      </w:r>
      <w:r>
        <w:rPr>
          <w:rFonts w:hint="eastAsia" w:ascii="仿宋_GB2312" w:hAnsi="仿宋_GB2312" w:eastAsia="仿宋_GB2312" w:cs="仿宋_GB2312"/>
          <w:sz w:val="32"/>
          <w:szCs w:val="32"/>
        </w:rPr>
        <w:t>参与组织、协调、指导全市维护社会政治稳定工作，保障国家和省、邢、市重大政治活动的顺利进行，参与处理影响社会政治稳定的突发性、群体性事件。</w:t>
      </w:r>
    </w:p>
    <w:p>
      <w:pPr>
        <w:spacing w:line="610" w:lineRule="exact"/>
        <w:ind w:firstLine="640"/>
        <w:rPr>
          <w:rFonts w:ascii="仿宋_GB2312" w:eastAsia="仿宋_GB2312"/>
          <w:sz w:val="32"/>
          <w:szCs w:val="32"/>
        </w:rPr>
      </w:pPr>
      <w:r>
        <w:rPr>
          <w:rFonts w:hint="eastAsia" w:ascii="仿宋_GB2312" w:eastAsia="仿宋_GB2312"/>
          <w:sz w:val="32"/>
          <w:szCs w:val="32"/>
        </w:rPr>
        <w:t>（五）负责对乡（镇、办）党委、政府和市直部门信访工作年度责任目标进行考核，对全市社会治安综合治理和维护社会政治稳定年度责任目标中有关信访工作进行考核。</w:t>
      </w:r>
    </w:p>
    <w:p>
      <w:pPr>
        <w:spacing w:line="610" w:lineRule="exact"/>
        <w:ind w:firstLine="640"/>
        <w:rPr>
          <w:rFonts w:ascii="仿宋_GB2312" w:eastAsia="仿宋_GB2312"/>
          <w:sz w:val="32"/>
          <w:szCs w:val="32"/>
        </w:rPr>
      </w:pPr>
      <w:r>
        <w:rPr>
          <w:rFonts w:hint="eastAsia" w:ascii="仿宋_GB2312" w:eastAsia="仿宋_GB2312"/>
          <w:sz w:val="32"/>
          <w:szCs w:val="32"/>
        </w:rPr>
        <w:t>（六）协调国家信访局、省信访局、邢台市信访局处理沙河市群众进京、赴省、到邢上访；协调公安机关维护市委、市政府机关正常工作秩序。</w:t>
      </w:r>
    </w:p>
    <w:p>
      <w:pPr>
        <w:spacing w:line="610" w:lineRule="exact"/>
        <w:ind w:firstLine="640"/>
        <w:rPr>
          <w:rFonts w:ascii="仿宋_GB2312" w:eastAsia="仿宋_GB2312"/>
          <w:sz w:val="32"/>
          <w:szCs w:val="32"/>
        </w:rPr>
      </w:pPr>
      <w:r>
        <w:rPr>
          <w:rFonts w:hint="eastAsia" w:ascii="仿宋_GB2312" w:eastAsia="仿宋_GB2312"/>
          <w:sz w:val="32"/>
          <w:szCs w:val="32"/>
        </w:rPr>
        <w:t>（七）督促检查和指导全市各级党委、政府的信访工作，指导全市信访工作的业务建设。</w:t>
      </w:r>
    </w:p>
    <w:p>
      <w:pPr>
        <w:spacing w:line="610" w:lineRule="exact"/>
        <w:ind w:firstLine="640"/>
        <w:rPr>
          <w:rFonts w:ascii="仿宋_GB2312" w:eastAsia="仿宋_GB2312"/>
          <w:sz w:val="32"/>
          <w:szCs w:val="32"/>
        </w:rPr>
      </w:pPr>
      <w:r>
        <w:rPr>
          <w:rFonts w:hint="eastAsia" w:ascii="仿宋_GB2312" w:eastAsia="仿宋_GB2312"/>
          <w:sz w:val="32"/>
          <w:szCs w:val="32"/>
        </w:rPr>
        <w:t>（八）负责市级领导信访接待日的组织工作。</w:t>
      </w:r>
    </w:p>
    <w:p>
      <w:pPr>
        <w:spacing w:line="610" w:lineRule="exact"/>
        <w:ind w:firstLine="640"/>
        <w:rPr>
          <w:rFonts w:ascii="仿宋_GB2312" w:eastAsia="仿宋_GB2312"/>
          <w:sz w:val="32"/>
          <w:szCs w:val="32"/>
        </w:rPr>
      </w:pPr>
      <w:r>
        <w:rPr>
          <w:rFonts w:hint="eastAsia" w:ascii="仿宋_GB2312" w:eastAsia="仿宋_GB2312"/>
          <w:sz w:val="32"/>
          <w:szCs w:val="32"/>
        </w:rPr>
        <w:t>（九）承办市委、市政府和市委办公室、市政府办公室以及上级信访部门交办的有关信访工作事宜。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tbl>
      <w:tblPr>
        <w:tblStyle w:val="7"/>
        <w:tblW w:w="9096" w:type="dxa"/>
        <w:tblInd w:w="2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2"/>
        <w:gridCol w:w="1667"/>
        <w:gridCol w:w="1845"/>
        <w:gridCol w:w="2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296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66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184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2622"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296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中共沙河市委信访局</w:t>
            </w:r>
          </w:p>
        </w:tc>
        <w:tc>
          <w:tcPr>
            <w:tcW w:w="166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w:t>
            </w:r>
          </w:p>
        </w:tc>
        <w:tc>
          <w:tcPr>
            <w:tcW w:w="184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26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单位的收支包含在部门预算中。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392.11</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392.11</w:t>
      </w:r>
      <w:r>
        <w:rPr>
          <w:rFonts w:hint="eastAsia" w:ascii="仿宋_GB2312" w:hAnsi="仿宋_GB2312" w:eastAsia="仿宋_GB2312" w:cs="仿宋_GB2312"/>
          <w:sz w:val="32"/>
          <w:szCs w:val="32"/>
        </w:rPr>
        <w:t>万元，基金预算拨款0元。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392.11</w:t>
      </w:r>
      <w:r>
        <w:rPr>
          <w:rFonts w:hint="eastAsia" w:ascii="仿宋_GB2312" w:hAnsi="仿宋_GB2312" w:eastAsia="仿宋_GB2312" w:cs="仿宋_GB2312"/>
          <w:sz w:val="32"/>
          <w:szCs w:val="32"/>
        </w:rPr>
        <w:t>万元，其中基本支出132.11万元，包括人员经费和日常公用经费；项目支出2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0万元，全部为本级支出的信访局运转经费，包括群众工作中心运转经费、信访工作经费和处理信访事件补助经费。</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val="en-US" w:eastAsia="zh-CN"/>
        </w:rPr>
        <w:t>392.11</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年预算增加</w:t>
      </w:r>
      <w:r>
        <w:rPr>
          <w:rFonts w:hint="eastAsia" w:ascii="仿宋_GB2312" w:hAnsi="仿宋_GB2312" w:eastAsia="仿宋_GB2312" w:cs="仿宋_GB2312"/>
          <w:sz w:val="32"/>
          <w:szCs w:val="32"/>
          <w:lang w:val="en-US" w:eastAsia="zh-CN"/>
        </w:rPr>
        <w:t>56.4</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万元，主要为人员经费支出增加；项目支出增加</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万元，主要为处理信访事件补助经费增加</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p>
    <w:p>
      <w:pPr>
        <w:ind w:firstLine="640"/>
        <w:rPr>
          <w:rFonts w:hint="eastAsia"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8" w:firstLine="620" w:firstLineChars="19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10.37</w:t>
      </w:r>
      <w:r>
        <w:rPr>
          <w:rFonts w:hint="eastAsia" w:ascii="仿宋_GB2312" w:hAnsi="仿宋_GB2312" w:eastAsia="仿宋_GB2312" w:cs="仿宋_GB2312"/>
          <w:sz w:val="32"/>
          <w:szCs w:val="32"/>
        </w:rPr>
        <w:t>万元，主要用于机关正常运转的办公费、公务交通补贴、福利费、工会经费支出。</w:t>
      </w:r>
    </w:p>
    <w:p>
      <w:p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spacing w:line="610" w:lineRule="exact"/>
        <w:ind w:firstLine="640"/>
        <w:rPr>
          <w:rFonts w:ascii="黑体" w:hAnsi="黑体" w:eastAsia="黑体" w:cs="Times New Roman"/>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年，我部门“三公”经费预算安排</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万元，其中因公出国（境）费0元；公务用车购置及运维费2万元（公务用车购置费0元，公务用车运维费2万元）；公务接待费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年相比减少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610" w:lineRule="exact"/>
        <w:ind w:firstLine="640"/>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中共沙河市委信访局要继续以邓小平理论、“三个代表”重要思想、科学发展观为指导，深入贯彻落实习近平总书记系列重要讲话和党的十八届三中全会精神，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保障信访群众服务中心正常运转；确保会议正常召开。</w:t>
      </w:r>
    </w:p>
    <w:p>
      <w:pPr>
        <w:autoSpaceDE w:val="0"/>
        <w:autoSpaceDN w:val="0"/>
        <w:adjustRightInd w:val="0"/>
        <w:ind w:firstLine="643" w:firstLineChars="200"/>
        <w:jc w:val="left"/>
        <w:rPr>
          <w:rFonts w:hint="eastAsia" w:ascii="仿宋_GB2312" w:hAnsi="仿宋_GB2312" w:eastAsia="仿宋_GB2312" w:cs="仿宋_GB2312"/>
          <w:sz w:val="32"/>
          <w:szCs w:val="32"/>
        </w:rPr>
      </w:pPr>
      <w:r>
        <w:rPr>
          <w:rFonts w:ascii="仿宋" w:hAnsi="仿宋" w:eastAsia="仿宋" w:cs="仿宋_GB2312"/>
          <w:b/>
          <w:sz w:val="32"/>
          <w:szCs w:val="32"/>
        </w:rPr>
        <w:t>职责分类绩效目标:</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1、市级领导敞开接访，畅通信访渠道。</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2、及时摸排矛盾隐患，消除不稳定因素。</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3、认真开展化解信访积案专项行动。</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4、加大工作力度，保障“三率”指标提升。</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5、进一步健全完善信访工作制度。</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6、加大对进京“非访”违法行为打击力度。</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7、圆满完成重大敏感时期的信访维稳值班工作。</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8、精心谋划群众工作中心建设</w:t>
      </w:r>
      <w:r>
        <w:rPr>
          <w:rFonts w:hint="eastAsia" w:ascii="仿宋_GB2312" w:hAnsi="仿宋_GB2312" w:eastAsia="仿宋_GB2312" w:cs="仿宋_GB2312"/>
          <w:sz w:val="32"/>
          <w:szCs w:val="32"/>
        </w:rPr>
        <w:t>。</w:t>
      </w:r>
    </w:p>
    <w:p>
      <w:pPr>
        <w:autoSpaceDE w:val="0"/>
        <w:autoSpaceDN w:val="0"/>
        <w:adjustRightInd w:val="0"/>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9、积极建言献策，提供合理化建议。</w:t>
      </w:r>
    </w:p>
    <w:p>
      <w:pPr>
        <w:autoSpaceDE w:val="0"/>
        <w:autoSpaceDN w:val="0"/>
        <w:adjustRightInd w:val="0"/>
        <w:ind w:firstLine="640" w:firstLineChars="20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ind w:firstLine="643" w:firstLineChars="200"/>
        <w:jc w:val="left"/>
        <w:rPr>
          <w:rFonts w:hint="eastAsia"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199中共沙河市委信访局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sz w:val="15"/>
                <w:szCs w:val="15"/>
              </w:rPr>
            </w:pPr>
            <w:r>
              <w:rPr>
                <w:rFonts w:hint="eastAsia" w:ascii="仿宋" w:hAnsi="仿宋" w:eastAsia="仿宋" w:cs="仿宋"/>
                <w:sz w:val="15"/>
                <w:szCs w:val="15"/>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职责活动</w:t>
            </w:r>
          </w:p>
        </w:tc>
        <w:tc>
          <w:tcPr>
            <w:tcW w:w="1276" w:type="dxa"/>
            <w:vMerge w:val="restart"/>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年度预算数</w:t>
            </w:r>
          </w:p>
        </w:tc>
        <w:tc>
          <w:tcPr>
            <w:tcW w:w="2976" w:type="dxa"/>
            <w:vMerge w:val="restart"/>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内容描述</w:t>
            </w:r>
          </w:p>
        </w:tc>
        <w:tc>
          <w:tcPr>
            <w:tcW w:w="2976" w:type="dxa"/>
            <w:vMerge w:val="restart"/>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绩效目标</w:t>
            </w:r>
          </w:p>
        </w:tc>
        <w:tc>
          <w:tcPr>
            <w:tcW w:w="1417" w:type="dxa"/>
            <w:vMerge w:val="restart"/>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绩效指标</w:t>
            </w:r>
          </w:p>
        </w:tc>
        <w:tc>
          <w:tcPr>
            <w:tcW w:w="2948" w:type="dxa"/>
            <w:gridSpan w:val="4"/>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hint="eastAsia" w:ascii="仿宋" w:hAnsi="仿宋" w:eastAsia="仿宋" w:cs="仿宋"/>
                <w:sz w:val="15"/>
                <w:szCs w:val="15"/>
              </w:rPr>
            </w:pPr>
          </w:p>
        </w:tc>
        <w:tc>
          <w:tcPr>
            <w:tcW w:w="1276" w:type="dxa"/>
            <w:vMerge w:val="continue"/>
            <w:vAlign w:val="center"/>
          </w:tcPr>
          <w:p>
            <w:pPr>
              <w:spacing w:line="300" w:lineRule="exact"/>
              <w:jc w:val="left"/>
              <w:outlineLvl w:val="0"/>
              <w:rPr>
                <w:rFonts w:hint="eastAsia" w:ascii="仿宋" w:hAnsi="仿宋" w:eastAsia="仿宋" w:cs="仿宋"/>
                <w:sz w:val="15"/>
                <w:szCs w:val="15"/>
              </w:rPr>
            </w:pPr>
          </w:p>
        </w:tc>
        <w:tc>
          <w:tcPr>
            <w:tcW w:w="2976" w:type="dxa"/>
            <w:vMerge w:val="continue"/>
            <w:vAlign w:val="center"/>
          </w:tcPr>
          <w:p>
            <w:pPr>
              <w:spacing w:line="300" w:lineRule="exact"/>
              <w:jc w:val="left"/>
              <w:outlineLvl w:val="0"/>
              <w:rPr>
                <w:rFonts w:hint="eastAsia" w:ascii="仿宋" w:hAnsi="仿宋" w:eastAsia="仿宋" w:cs="仿宋"/>
                <w:sz w:val="15"/>
                <w:szCs w:val="15"/>
              </w:rPr>
            </w:pPr>
          </w:p>
        </w:tc>
        <w:tc>
          <w:tcPr>
            <w:tcW w:w="2976" w:type="dxa"/>
            <w:vMerge w:val="continue"/>
            <w:vAlign w:val="center"/>
          </w:tcPr>
          <w:p>
            <w:pPr>
              <w:spacing w:line="300" w:lineRule="exact"/>
              <w:jc w:val="left"/>
              <w:outlineLvl w:val="0"/>
              <w:rPr>
                <w:rFonts w:hint="eastAsia" w:ascii="仿宋" w:hAnsi="仿宋" w:eastAsia="仿宋" w:cs="仿宋"/>
                <w:sz w:val="15"/>
                <w:szCs w:val="15"/>
              </w:rPr>
            </w:pPr>
          </w:p>
        </w:tc>
        <w:tc>
          <w:tcPr>
            <w:tcW w:w="1417" w:type="dxa"/>
            <w:vMerge w:val="continue"/>
            <w:vAlign w:val="center"/>
          </w:tcPr>
          <w:p>
            <w:pPr>
              <w:spacing w:line="300" w:lineRule="exact"/>
              <w:jc w:val="left"/>
              <w:outlineLvl w:val="0"/>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优</w:t>
            </w:r>
          </w:p>
        </w:tc>
        <w:tc>
          <w:tcPr>
            <w:tcW w:w="737" w:type="dxa"/>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良</w:t>
            </w:r>
          </w:p>
        </w:tc>
        <w:tc>
          <w:tcPr>
            <w:tcW w:w="737" w:type="dxa"/>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中</w:t>
            </w:r>
          </w:p>
        </w:tc>
        <w:tc>
          <w:tcPr>
            <w:tcW w:w="737" w:type="dxa"/>
            <w:vAlign w:val="center"/>
          </w:tcPr>
          <w:p>
            <w:pPr>
              <w:spacing w:line="300" w:lineRule="exact"/>
              <w:jc w:val="center"/>
              <w:rPr>
                <w:rFonts w:hint="eastAsia" w:ascii="仿宋" w:hAnsi="仿宋" w:eastAsia="仿宋" w:cs="仿宋"/>
                <w:b/>
                <w:sz w:val="15"/>
                <w:szCs w:val="15"/>
              </w:rPr>
            </w:pPr>
            <w:r>
              <w:rPr>
                <w:rFonts w:hint="eastAsia" w:ascii="仿宋" w:hAnsi="仿宋" w:eastAsia="仿宋" w:cs="仿宋"/>
                <w:b/>
                <w:sz w:val="15"/>
                <w:szCs w:val="15"/>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仿宋" w:hAnsi="仿宋" w:eastAsia="仿宋" w:cs="仿宋"/>
                <w:b/>
                <w:sz w:val="15"/>
                <w:szCs w:val="15"/>
              </w:rPr>
            </w:pPr>
            <w:r>
              <w:rPr>
                <w:rFonts w:hint="eastAsia" w:ascii="仿宋" w:hAnsi="仿宋" w:eastAsia="仿宋" w:cs="仿宋"/>
                <w:b/>
                <w:sz w:val="15"/>
                <w:szCs w:val="15"/>
              </w:rPr>
              <w:t>一、信访问题处理</w:t>
            </w:r>
          </w:p>
        </w:tc>
        <w:tc>
          <w:tcPr>
            <w:tcW w:w="12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160.00</w:t>
            </w:r>
          </w:p>
        </w:tc>
        <w:tc>
          <w:tcPr>
            <w:tcW w:w="29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负责正常信访、非访、突发性及群体性事件的办理；提供相关服务保障；协助上级信访局处理越级上访；信访事项督查、复查复核、听证；负责市委市政府交办的其他事项。</w:t>
            </w:r>
          </w:p>
        </w:tc>
        <w:tc>
          <w:tcPr>
            <w:tcW w:w="29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畅通信访渠道，减少信访案件，维护社会和谐稳定。</w:t>
            </w:r>
          </w:p>
        </w:tc>
        <w:tc>
          <w:tcPr>
            <w:tcW w:w="1417" w:type="dxa"/>
            <w:vAlign w:val="center"/>
          </w:tcPr>
          <w:p>
            <w:pPr>
              <w:spacing w:line="300" w:lineRule="exact"/>
              <w:jc w:val="left"/>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仿宋" w:hAnsi="仿宋" w:eastAsia="仿宋" w:cs="仿宋"/>
                <w:b/>
                <w:sz w:val="15"/>
                <w:szCs w:val="15"/>
              </w:rPr>
            </w:pPr>
            <w:r>
              <w:rPr>
                <w:rFonts w:hint="eastAsia" w:ascii="仿宋" w:hAnsi="仿宋" w:eastAsia="仿宋" w:cs="仿宋"/>
                <w:b/>
                <w:sz w:val="15"/>
                <w:szCs w:val="15"/>
              </w:rPr>
              <w:t>　　1、信访业务办理</w:t>
            </w:r>
          </w:p>
        </w:tc>
        <w:tc>
          <w:tcPr>
            <w:tcW w:w="1276" w:type="dxa"/>
            <w:vAlign w:val="center"/>
          </w:tcPr>
          <w:p>
            <w:pPr>
              <w:spacing w:line="300" w:lineRule="exact"/>
              <w:jc w:val="left"/>
              <w:rPr>
                <w:rFonts w:hint="eastAsia" w:ascii="仿宋" w:hAnsi="仿宋" w:eastAsia="仿宋" w:cs="仿宋"/>
                <w:sz w:val="15"/>
                <w:szCs w:val="15"/>
              </w:rPr>
            </w:pPr>
          </w:p>
        </w:tc>
        <w:tc>
          <w:tcPr>
            <w:tcW w:w="29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办理人民群众来信、来访、网上信访；协助上级信访局处理越级上访工作。</w:t>
            </w:r>
          </w:p>
        </w:tc>
        <w:tc>
          <w:tcPr>
            <w:tcW w:w="2976"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畅通信访渠道，提高信访事项办理质量和效率。</w:t>
            </w:r>
          </w:p>
        </w:tc>
        <w:tc>
          <w:tcPr>
            <w:tcW w:w="141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信访事项受理及时率结案率</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≥80%</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≥75%</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≥70%</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仿宋" w:hAnsi="仿宋" w:eastAsia="仿宋" w:cs="仿宋"/>
                <w:b/>
                <w:sz w:val="15"/>
                <w:szCs w:val="15"/>
              </w:rPr>
            </w:pPr>
            <w:r>
              <w:rPr>
                <w:rFonts w:hint="eastAsia" w:ascii="仿宋" w:hAnsi="仿宋" w:eastAsia="仿宋" w:cs="仿宋"/>
                <w:b/>
                <w:sz w:val="15"/>
                <w:szCs w:val="15"/>
              </w:rPr>
              <w:t>　　2、处置非访、突发性及群体性事件</w:t>
            </w:r>
          </w:p>
        </w:tc>
        <w:tc>
          <w:tcPr>
            <w:tcW w:w="12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160.00</w:t>
            </w:r>
          </w:p>
        </w:tc>
        <w:tc>
          <w:tcPr>
            <w:tcW w:w="29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处置影响社会政治稳定的各类非访、突发性、群体性事件；负责组织协调、稳控劝返、服务保障我市越级非访工作。承办市联席办的日常工作。</w:t>
            </w:r>
          </w:p>
        </w:tc>
        <w:tc>
          <w:tcPr>
            <w:tcW w:w="2976"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妥善处置非正常访，维护社会大局和谐稳定。</w:t>
            </w:r>
          </w:p>
        </w:tc>
        <w:tc>
          <w:tcPr>
            <w:tcW w:w="1417" w:type="dxa"/>
            <w:vAlign w:val="center"/>
          </w:tcPr>
          <w:p>
            <w:pPr>
              <w:keepNext w:val="0"/>
              <w:keepLines w:val="0"/>
              <w:widowControl/>
              <w:suppressLineNumbers w:val="0"/>
              <w:jc w:val="left"/>
              <w:textAlignment w:val="center"/>
              <w:rPr>
                <w:rFonts w:hint="eastAsia" w:ascii="仿宋" w:hAnsi="仿宋" w:eastAsia="仿宋" w:cs="仿宋"/>
                <w:sz w:val="15"/>
                <w:szCs w:val="15"/>
                <w:lang w:eastAsia="zh-CN"/>
              </w:rPr>
            </w:pPr>
            <w:r>
              <w:rPr>
                <w:rFonts w:hint="eastAsia" w:ascii="仿宋" w:hAnsi="仿宋" w:eastAsia="仿宋" w:cs="仿宋"/>
                <w:sz w:val="15"/>
                <w:szCs w:val="15"/>
                <w:lang w:eastAsia="zh-CN"/>
              </w:rPr>
              <w:t>减少进京菲方和群体性事件批次</w:t>
            </w:r>
          </w:p>
        </w:tc>
        <w:tc>
          <w:tcPr>
            <w:tcW w:w="737" w:type="dxa"/>
            <w:vAlign w:val="center"/>
          </w:tcPr>
          <w:p>
            <w:pPr>
              <w:spacing w:line="300" w:lineRule="exact"/>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≤5</w:t>
            </w:r>
          </w:p>
        </w:tc>
        <w:tc>
          <w:tcPr>
            <w:tcW w:w="737" w:type="dxa"/>
            <w:vAlign w:val="center"/>
          </w:tcPr>
          <w:p>
            <w:pPr>
              <w:spacing w:line="300" w:lineRule="exact"/>
              <w:jc w:val="center"/>
              <w:rPr>
                <w:rFonts w:hint="eastAsia" w:ascii="仿宋" w:hAnsi="仿宋" w:eastAsia="仿宋" w:cs="仿宋"/>
                <w:sz w:val="15"/>
                <w:szCs w:val="15"/>
              </w:rPr>
            </w:pPr>
            <w:r>
              <w:rPr>
                <w:rFonts w:hint="eastAsia" w:ascii="仿宋" w:hAnsi="仿宋" w:eastAsia="仿宋" w:cs="仿宋"/>
                <w:sz w:val="15"/>
                <w:szCs w:val="15"/>
                <w:lang w:val="en-US" w:eastAsia="zh-CN"/>
              </w:rPr>
              <w:t>≤10</w:t>
            </w:r>
          </w:p>
        </w:tc>
        <w:tc>
          <w:tcPr>
            <w:tcW w:w="737" w:type="dxa"/>
            <w:vAlign w:val="center"/>
          </w:tcPr>
          <w:p>
            <w:pPr>
              <w:spacing w:line="300" w:lineRule="exact"/>
              <w:jc w:val="center"/>
              <w:rPr>
                <w:rFonts w:hint="eastAsia" w:ascii="仿宋" w:hAnsi="仿宋" w:eastAsia="仿宋" w:cs="仿宋"/>
                <w:sz w:val="15"/>
                <w:szCs w:val="15"/>
              </w:rPr>
            </w:pPr>
            <w:r>
              <w:rPr>
                <w:rFonts w:hint="eastAsia" w:ascii="仿宋" w:hAnsi="仿宋" w:eastAsia="仿宋" w:cs="仿宋"/>
                <w:sz w:val="15"/>
                <w:szCs w:val="15"/>
                <w:lang w:val="en-US" w:eastAsia="zh-CN"/>
              </w:rPr>
              <w:t>≤150</w:t>
            </w:r>
          </w:p>
        </w:tc>
        <w:tc>
          <w:tcPr>
            <w:tcW w:w="737" w:type="dxa"/>
            <w:vAlign w:val="center"/>
          </w:tcPr>
          <w:p>
            <w:pPr>
              <w:spacing w:line="300" w:lineRule="exact"/>
              <w:jc w:val="center"/>
              <w:rPr>
                <w:rFonts w:hint="eastAsia" w:ascii="仿宋" w:hAnsi="仿宋" w:eastAsia="仿宋" w:cs="仿宋"/>
                <w:sz w:val="15"/>
                <w:szCs w:val="15"/>
              </w:rPr>
            </w:pPr>
            <w:r>
              <w:rPr>
                <w:rFonts w:hint="eastAsia" w:ascii="仿宋" w:hAnsi="仿宋" w:eastAsia="仿宋" w:cs="仿宋"/>
                <w:sz w:val="15"/>
                <w:szCs w:val="15"/>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仿宋" w:hAnsi="仿宋" w:eastAsia="仿宋" w:cs="仿宋"/>
                <w:b/>
                <w:sz w:val="15"/>
                <w:szCs w:val="15"/>
              </w:rPr>
            </w:pPr>
            <w:r>
              <w:rPr>
                <w:rFonts w:hint="eastAsia" w:ascii="仿宋" w:hAnsi="仿宋" w:eastAsia="仿宋" w:cs="仿宋"/>
                <w:b/>
                <w:sz w:val="15"/>
                <w:szCs w:val="15"/>
              </w:rPr>
              <w:t>　　3、信访事项督查、复查复核、听证</w:t>
            </w:r>
          </w:p>
        </w:tc>
        <w:tc>
          <w:tcPr>
            <w:tcW w:w="1276" w:type="dxa"/>
            <w:vAlign w:val="center"/>
          </w:tcPr>
          <w:p>
            <w:pPr>
              <w:spacing w:line="300" w:lineRule="exact"/>
              <w:jc w:val="left"/>
              <w:rPr>
                <w:rFonts w:hint="eastAsia" w:ascii="仿宋" w:hAnsi="仿宋" w:eastAsia="仿宋" w:cs="仿宋"/>
                <w:sz w:val="15"/>
                <w:szCs w:val="15"/>
              </w:rPr>
            </w:pPr>
          </w:p>
        </w:tc>
        <w:tc>
          <w:tcPr>
            <w:tcW w:w="29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负责指导全市信访督查、复查复核、听证等工作，并对相关事项进行审核、上报；负责信访疑难案件的督办。</w:t>
            </w:r>
          </w:p>
        </w:tc>
        <w:tc>
          <w:tcPr>
            <w:tcW w:w="2976"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推动重要信访事项解决，规范信访事项办理、终结，用好特殊疑难信访问题专项资金。</w:t>
            </w:r>
          </w:p>
        </w:tc>
        <w:tc>
          <w:tcPr>
            <w:tcW w:w="141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解决特殊信访疑难问题件数</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4</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3</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2</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仿宋" w:hAnsi="仿宋" w:eastAsia="仿宋" w:cs="仿宋"/>
                <w:b/>
                <w:sz w:val="15"/>
                <w:szCs w:val="15"/>
              </w:rPr>
            </w:pPr>
            <w:r>
              <w:rPr>
                <w:rFonts w:hint="eastAsia" w:ascii="仿宋" w:hAnsi="仿宋" w:eastAsia="仿宋" w:cs="仿宋"/>
                <w:b/>
                <w:sz w:val="15"/>
                <w:szCs w:val="15"/>
              </w:rPr>
              <w:t>二、信访事务管理</w:t>
            </w:r>
          </w:p>
        </w:tc>
        <w:tc>
          <w:tcPr>
            <w:tcW w:w="12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100.00</w:t>
            </w:r>
          </w:p>
        </w:tc>
        <w:tc>
          <w:tcPr>
            <w:tcW w:w="29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调研提出信访工作对策建议；督促检查和指导全市信访工作；机关日常工作。</w:t>
            </w:r>
          </w:p>
        </w:tc>
        <w:tc>
          <w:tcPr>
            <w:tcW w:w="29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进一步提高信访干部业务能力；吸收可行建议，改进信访工作；提高信访信息化应用水平，实现办公自动化、网络化智能化。保障信访群众服务中心正常运转；确保会议正常召开。</w:t>
            </w:r>
          </w:p>
        </w:tc>
        <w:tc>
          <w:tcPr>
            <w:tcW w:w="1417" w:type="dxa"/>
            <w:vAlign w:val="center"/>
          </w:tcPr>
          <w:p>
            <w:pPr>
              <w:spacing w:line="300" w:lineRule="exact"/>
              <w:jc w:val="left"/>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仿宋" w:hAnsi="仿宋" w:eastAsia="仿宋" w:cs="仿宋"/>
                <w:b/>
                <w:sz w:val="15"/>
                <w:szCs w:val="15"/>
              </w:rPr>
            </w:pPr>
            <w:r>
              <w:rPr>
                <w:rFonts w:hint="eastAsia" w:ascii="仿宋" w:hAnsi="仿宋" w:eastAsia="仿宋" w:cs="仿宋"/>
                <w:b/>
                <w:sz w:val="15"/>
                <w:szCs w:val="15"/>
              </w:rPr>
              <w:t>　　1、其他综合事务管理</w:t>
            </w:r>
          </w:p>
        </w:tc>
        <w:tc>
          <w:tcPr>
            <w:tcW w:w="12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100.00</w:t>
            </w:r>
          </w:p>
        </w:tc>
        <w:tc>
          <w:tcPr>
            <w:tcW w:w="2976" w:type="dxa"/>
            <w:vAlign w:val="center"/>
          </w:tcPr>
          <w:p>
            <w:pPr>
              <w:spacing w:line="300" w:lineRule="exact"/>
              <w:jc w:val="left"/>
              <w:rPr>
                <w:rFonts w:hint="eastAsia" w:ascii="仿宋" w:hAnsi="仿宋" w:eastAsia="仿宋" w:cs="仿宋"/>
                <w:sz w:val="15"/>
                <w:szCs w:val="15"/>
              </w:rPr>
            </w:pPr>
            <w:r>
              <w:rPr>
                <w:rFonts w:hint="eastAsia" w:ascii="仿宋" w:hAnsi="仿宋" w:eastAsia="仿宋" w:cs="仿宋"/>
                <w:sz w:val="15"/>
                <w:szCs w:val="15"/>
              </w:rPr>
              <w:t>调研提出信访工作对策建议；督促检查和指导全市信访工作；信息化建设与运维管理；机要邮件正常传递；负责局机关行政后勤、资产、物业管理。</w:t>
            </w:r>
          </w:p>
        </w:tc>
        <w:tc>
          <w:tcPr>
            <w:tcW w:w="2976"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进一步提高信访干部业务能力；吸收可行建议，改进信访工作；提高信访信息化应用水平。保障机要邮件正常传递和信访群众服务中心正常运转；确保会议正常召开。</w:t>
            </w:r>
          </w:p>
        </w:tc>
        <w:tc>
          <w:tcPr>
            <w:tcW w:w="141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其他各项综合实务工作完成率</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100%</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≥95%</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≥90%</w:t>
            </w:r>
          </w:p>
        </w:tc>
        <w:tc>
          <w:tcPr>
            <w:tcW w:w="737" w:type="dxa"/>
            <w:vAlign w:val="center"/>
          </w:tcPr>
          <w:p>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color w:val="000000"/>
                <w:kern w:val="0"/>
                <w:sz w:val="15"/>
                <w:szCs w:val="15"/>
                <w:u w:val="none"/>
                <w:lang w:val="en-US" w:eastAsia="zh-CN"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仿宋" w:hAnsi="仿宋" w:eastAsia="仿宋" w:cs="仿宋"/>
                <w:b/>
                <w:sz w:val="15"/>
                <w:szCs w:val="15"/>
              </w:rPr>
            </w:pPr>
          </w:p>
        </w:tc>
        <w:tc>
          <w:tcPr>
            <w:tcW w:w="1276" w:type="dxa"/>
            <w:vAlign w:val="center"/>
          </w:tcPr>
          <w:p>
            <w:pPr>
              <w:spacing w:line="300" w:lineRule="exact"/>
              <w:jc w:val="left"/>
              <w:rPr>
                <w:rFonts w:hint="eastAsia" w:ascii="仿宋" w:hAnsi="仿宋" w:eastAsia="仿宋" w:cs="仿宋"/>
                <w:sz w:val="15"/>
                <w:szCs w:val="15"/>
              </w:rPr>
            </w:pPr>
          </w:p>
        </w:tc>
        <w:tc>
          <w:tcPr>
            <w:tcW w:w="2976" w:type="dxa"/>
            <w:vAlign w:val="center"/>
          </w:tcPr>
          <w:p>
            <w:pPr>
              <w:spacing w:line="300" w:lineRule="exact"/>
              <w:jc w:val="left"/>
              <w:rPr>
                <w:rFonts w:hint="eastAsia" w:ascii="仿宋" w:hAnsi="仿宋" w:eastAsia="仿宋" w:cs="仿宋"/>
                <w:sz w:val="15"/>
                <w:szCs w:val="15"/>
              </w:rPr>
            </w:pPr>
          </w:p>
        </w:tc>
        <w:tc>
          <w:tcPr>
            <w:tcW w:w="2976" w:type="dxa"/>
            <w:vAlign w:val="center"/>
          </w:tcPr>
          <w:p>
            <w:pPr>
              <w:spacing w:line="300" w:lineRule="exact"/>
              <w:jc w:val="left"/>
              <w:rPr>
                <w:rFonts w:hint="eastAsia" w:ascii="仿宋" w:hAnsi="仿宋" w:eastAsia="仿宋" w:cs="仿宋"/>
                <w:sz w:val="15"/>
                <w:szCs w:val="15"/>
              </w:rPr>
            </w:pPr>
          </w:p>
        </w:tc>
        <w:tc>
          <w:tcPr>
            <w:tcW w:w="1417" w:type="dxa"/>
            <w:vAlign w:val="center"/>
          </w:tcPr>
          <w:p>
            <w:pPr>
              <w:spacing w:line="300" w:lineRule="exact"/>
              <w:jc w:val="left"/>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c>
          <w:tcPr>
            <w:tcW w:w="737" w:type="dxa"/>
            <w:vAlign w:val="center"/>
          </w:tcPr>
          <w:p>
            <w:pPr>
              <w:spacing w:line="300" w:lineRule="exact"/>
              <w:jc w:val="center"/>
              <w:rPr>
                <w:rFonts w:hint="eastAsia" w:ascii="仿宋" w:hAnsi="仿宋" w:eastAsia="仿宋" w:cs="仿宋"/>
                <w:sz w:val="15"/>
                <w:szCs w:val="15"/>
              </w:rPr>
            </w:pPr>
          </w:p>
        </w:tc>
      </w:tr>
    </w:tbl>
    <w:p>
      <w:pPr>
        <w:numPr>
          <w:ilvl w:val="0"/>
          <w:numId w:val="1"/>
        </w:num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本年度我部门未安排政府采购预算。</w:t>
      </w:r>
    </w:p>
    <w:p>
      <w:pPr>
        <w:numPr>
          <w:ilvl w:val="0"/>
          <w:numId w:val="1"/>
        </w:num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中共沙河市委信访局上年末固定资产金额为</w:t>
      </w:r>
      <w:r>
        <w:rPr>
          <w:rFonts w:hint="eastAsia" w:ascii="仿宋_GB2312" w:hAnsi="仿宋_GB2312" w:eastAsia="仿宋_GB2312" w:cs="仿宋_GB2312"/>
          <w:sz w:val="32"/>
          <w:szCs w:val="32"/>
          <w:lang w:val="en-US" w:eastAsia="zh-CN"/>
        </w:rPr>
        <w:t>54.9659</w:t>
      </w:r>
      <w:r>
        <w:rPr>
          <w:rFonts w:hint="eastAsia" w:ascii="仿宋_GB2312" w:hAnsi="仿宋_GB2312" w:eastAsia="仿宋_GB2312" w:cs="仿宋_GB2312"/>
          <w:sz w:val="32"/>
          <w:szCs w:val="32"/>
        </w:rPr>
        <w:t>万元，其中房屋面积0平方米，价值0万元；车辆1辆，价值14.5万元，其他固定资产价值</w:t>
      </w:r>
      <w:r>
        <w:rPr>
          <w:rFonts w:hint="eastAsia" w:ascii="仿宋_GB2312" w:hAnsi="仿宋_GB2312" w:eastAsia="仿宋_GB2312" w:cs="仿宋_GB2312"/>
          <w:sz w:val="32"/>
          <w:szCs w:val="32"/>
          <w:lang w:val="en-US" w:eastAsia="zh-CN"/>
        </w:rPr>
        <w:t>40.4659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详见下表：</w:t>
      </w:r>
    </w:p>
    <w:p>
      <w:pPr>
        <w:spacing w:line="610" w:lineRule="exact"/>
        <w:ind w:firstLine="640"/>
        <w:rPr>
          <w:rFonts w:hint="eastAsia" w:ascii="仿宋_GB2312" w:hAnsi="仿宋_GB2312" w:eastAsia="仿宋_GB2312" w:cs="仿宋_GB2312"/>
          <w:sz w:val="32"/>
          <w:szCs w:val="32"/>
        </w:rPr>
      </w:pPr>
    </w:p>
    <w:p>
      <w:pPr>
        <w:spacing w:line="610" w:lineRule="exact"/>
        <w:ind w:firstLine="640"/>
        <w:rPr>
          <w:rFonts w:hint="eastAsia" w:ascii="仿宋_GB2312" w:hAnsi="仿宋_GB2312" w:eastAsia="仿宋_GB2312" w:cs="仿宋_GB2312"/>
          <w:sz w:val="32"/>
          <w:szCs w:val="32"/>
        </w:rPr>
      </w:pPr>
    </w:p>
    <w:p>
      <w:pPr>
        <w:spacing w:line="610" w:lineRule="exact"/>
        <w:ind w:firstLine="640"/>
        <w:rPr>
          <w:rFonts w:hint="eastAsia" w:ascii="仿宋_GB2312" w:hAnsi="仿宋_GB2312" w:eastAsia="仿宋_GB2312" w:cs="仿宋_GB2312"/>
          <w:sz w:val="32"/>
          <w:szCs w:val="32"/>
        </w:rPr>
      </w:pPr>
      <w:bookmarkStart w:id="1" w:name="_GoBack"/>
      <w:bookmarkEnd w:id="1"/>
    </w:p>
    <w:p>
      <w:pPr>
        <w:spacing w:line="610" w:lineRule="exact"/>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国有资产情况表</w:t>
      </w:r>
    </w:p>
    <w:tbl>
      <w:tblPr>
        <w:tblStyle w:val="7"/>
        <w:tblW w:w="9346" w:type="dxa"/>
        <w:jc w:val="center"/>
        <w:tblInd w:w="2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8"/>
        <w:gridCol w:w="562"/>
        <w:gridCol w:w="1643"/>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585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　　目</w:t>
            </w:r>
          </w:p>
        </w:tc>
        <w:tc>
          <w:tcPr>
            <w:tcW w:w="562" w:type="dxa"/>
            <w:vMerge w:val="restart"/>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行次</w:t>
            </w:r>
          </w:p>
        </w:tc>
        <w:tc>
          <w:tcPr>
            <w:tcW w:w="1643" w:type="dxa"/>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数量</w:t>
            </w:r>
          </w:p>
        </w:tc>
        <w:tc>
          <w:tcPr>
            <w:tcW w:w="1283" w:type="dxa"/>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5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43"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年末数</w:t>
            </w:r>
          </w:p>
        </w:tc>
        <w:tc>
          <w:tcPr>
            <w:tcW w:w="1283"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固定资产</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643"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w:t>
            </w:r>
          </w:p>
        </w:tc>
        <w:tc>
          <w:tcPr>
            <w:tcW w:w="1283"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SA"/>
              </w:rPr>
              <w:t>549，659</w:t>
            </w:r>
            <w:r>
              <w:rPr>
                <w:rFonts w:hint="eastAsia" w:ascii="宋体" w:hAnsi="宋体" w:eastAsia="宋体" w:cs="宋体"/>
                <w:i w:val="0"/>
                <w:color w:val="000000"/>
                <w:kern w:val="0"/>
                <w:sz w:val="22"/>
                <w:szCs w:val="22"/>
                <w:u w:val="none"/>
                <w:lang w:val="en-US" w:eastAsia="zh-CN" w:bidi="ar-SA"/>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（一）房屋（平方米）</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1.办公用房</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2.业务用房</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3.其他（不含构筑物）</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（二）车辆（台、辆）</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1643"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283"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1.轿车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1643"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283"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2.越野车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3.小型载客汽车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4.大中型载客汽车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5.其他车型</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13</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（三）单价50万元（含）以上的通用设备（台、套…）</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（四）单价100万元（含）以上的专用设备（台、套…）</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（五）其他固定资产</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16</w:t>
            </w:r>
          </w:p>
        </w:tc>
        <w:tc>
          <w:tcPr>
            <w:tcW w:w="1643"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w:t>
            </w:r>
          </w:p>
        </w:tc>
        <w:tc>
          <w:tcPr>
            <w:tcW w:w="1283"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SA"/>
              </w:rPr>
              <w:t>40</w:t>
            </w:r>
            <w:r>
              <w:rPr>
                <w:rFonts w:hint="eastAsia" w:ascii="宋体" w:hAnsi="宋体" w:eastAsia="宋体" w:cs="宋体"/>
                <w:i w:val="0"/>
                <w:color w:val="000000"/>
                <w:kern w:val="0"/>
                <w:sz w:val="22"/>
                <w:szCs w:val="22"/>
                <w:u w:val="none"/>
                <w:lang w:val="en-US" w:eastAsia="zh-CN" w:bidi="ar-SA"/>
              </w:rPr>
              <w:t>4,</w:t>
            </w:r>
            <w:r>
              <w:rPr>
                <w:rFonts w:hint="eastAsia" w:ascii="宋体" w:hAnsi="宋体" w:cs="宋体"/>
                <w:i w:val="0"/>
                <w:color w:val="000000"/>
                <w:kern w:val="0"/>
                <w:sz w:val="22"/>
                <w:szCs w:val="22"/>
                <w:u w:val="none"/>
                <w:lang w:val="en-US" w:eastAsia="zh-CN" w:bidi="ar-SA"/>
              </w:rPr>
              <w:t>,6</w:t>
            </w:r>
            <w:r>
              <w:rPr>
                <w:rFonts w:hint="eastAsia" w:ascii="宋体" w:hAnsi="宋体" w:eastAsia="宋体" w:cs="宋体"/>
                <w:i w:val="0"/>
                <w:color w:val="000000"/>
                <w:kern w:val="0"/>
                <w:sz w:val="22"/>
                <w:szCs w:val="22"/>
                <w:u w:val="none"/>
                <w:lang w:val="en-US" w:eastAsia="zh-CN" w:bidi="ar-SA"/>
              </w:rPr>
              <w:t>59.00</w:t>
            </w:r>
          </w:p>
        </w:tc>
      </w:tr>
    </w:tbl>
    <w:p>
      <w:pPr>
        <w:spacing w:line="610" w:lineRule="exact"/>
        <w:ind w:firstLine="640"/>
        <w:rPr>
          <w:rFonts w:hint="eastAsia" w:ascii="仿宋_GB2312" w:hAnsi="仿宋_GB2312" w:eastAsia="仿宋_GB2312" w:cs="仿宋_GB2312"/>
          <w:sz w:val="32"/>
          <w:szCs w:val="32"/>
        </w:rPr>
      </w:pP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本年度无拟购置固定资产。</w:t>
      </w:r>
    </w:p>
    <w:p>
      <w:pPr>
        <w:numPr>
          <w:ilvl w:val="0"/>
          <w:numId w:val="1"/>
        </w:numPr>
        <w:autoSpaceDE w:val="0"/>
        <w:autoSpaceDN w:val="0"/>
        <w:adjustRightInd w:val="0"/>
        <w:ind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名词解释</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 xml:space="preserve">指从本级财政当年拨付给部门的资金。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 xml:space="preserve">指为保障机构正常运转、完成日常工作任务而发生的人员支出和公用支出。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 xml:space="preserve">指政府部门用财政拨款安排的因公出国（境）费，公务用车购置及运行费和公务接待费。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Times New Roman" w:hAnsi="Times New Roman" w:eastAsia="仿宋" w:cs="Times New Roman"/>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numPr>
          <w:ilvl w:val="0"/>
          <w:numId w:val="1"/>
        </w:numPr>
        <w:autoSpaceDE w:val="0"/>
        <w:autoSpaceDN w:val="0"/>
        <w:adjustRightInd w:val="0"/>
        <w:ind w:left="18" w:firstLine="620" w:firstLineChars="194"/>
        <w:jc w:val="left"/>
        <w:rPr>
          <w:rFonts w:ascii="Times New Roman" w:hAnsi="Times New Roman" w:eastAsia="仿宋" w:cs="Times New Roman"/>
          <w:sz w:val="32"/>
          <w:szCs w:val="32"/>
        </w:rPr>
      </w:pPr>
      <w:r>
        <w:rPr>
          <w:rFonts w:hint="eastAsia" w:ascii="黑体" w:hAnsi="黑体" w:eastAsia="黑体" w:cs="Times New Roman"/>
          <w:sz w:val="32"/>
          <w:szCs w:val="32"/>
        </w:rPr>
        <w:t>其他需要说明的事项</w:t>
      </w:r>
    </w:p>
    <w:p>
      <w:pPr>
        <w:spacing w:line="610" w:lineRule="exact"/>
        <w:ind w:left="640"/>
        <w:rPr>
          <w:rFonts w:ascii="Times New Roman" w:hAnsi="Times New Roman" w:eastAsia="仿宋" w:cs="Times New Roman"/>
          <w:sz w:val="32"/>
          <w:szCs w:val="32"/>
        </w:rPr>
      </w:pPr>
      <w:r>
        <w:rPr>
          <w:rFonts w:hint="eastAsia" w:ascii="仿宋_GB2312" w:hAnsi="仿宋_GB2312" w:eastAsia="仿宋_GB2312" w:cs="仿宋_GB2312"/>
          <w:color w:val="000000"/>
          <w:sz w:val="32"/>
          <w:szCs w:val="32"/>
        </w:rPr>
        <w:t>无其他需说明事项</w:t>
      </w:r>
    </w:p>
    <w:sectPr>
      <w:pgSz w:w="16838" w:h="11906" w:orient="landscape"/>
      <w:pgMar w:top="1797" w:right="1440" w:bottom="179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微软雅黑"/>
    <w:panose1 w:val="03000509000000000000"/>
    <w:charset w:val="86"/>
    <w:family w:val="roma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汉仪旗黑-55">
    <w:panose1 w:val="00020600040101010101"/>
    <w:charset w:val="86"/>
    <w:family w:val="auto"/>
    <w:pitch w:val="default"/>
    <w:sig w:usb0="A00002BF" w:usb1="18EF7CFA" w:usb2="00000016"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B288"/>
    <w:multiLevelType w:val="singleLevel"/>
    <w:tmpl w:val="5A94B28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31F42"/>
    <w:rsid w:val="00040FBA"/>
    <w:rsid w:val="0004490B"/>
    <w:rsid w:val="000604DF"/>
    <w:rsid w:val="000B6658"/>
    <w:rsid w:val="0013228E"/>
    <w:rsid w:val="0026529B"/>
    <w:rsid w:val="0027733F"/>
    <w:rsid w:val="002E4731"/>
    <w:rsid w:val="003277EC"/>
    <w:rsid w:val="00456D84"/>
    <w:rsid w:val="006400DD"/>
    <w:rsid w:val="006D7083"/>
    <w:rsid w:val="008003BA"/>
    <w:rsid w:val="00817B30"/>
    <w:rsid w:val="00956750"/>
    <w:rsid w:val="00AA3E6C"/>
    <w:rsid w:val="00D325C0"/>
    <w:rsid w:val="00F171F2"/>
    <w:rsid w:val="02F7255C"/>
    <w:rsid w:val="030A4EB9"/>
    <w:rsid w:val="05E6755E"/>
    <w:rsid w:val="0EED0002"/>
    <w:rsid w:val="15454E77"/>
    <w:rsid w:val="17384E65"/>
    <w:rsid w:val="291C4CC9"/>
    <w:rsid w:val="39FA016C"/>
    <w:rsid w:val="3BB904B7"/>
    <w:rsid w:val="52432A65"/>
    <w:rsid w:val="6A7F0FE5"/>
    <w:rsid w:val="750512C1"/>
    <w:rsid w:val="76EC7F1E"/>
    <w:rsid w:val="7B556E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paragraph" w:customStyle="1" w:styleId="8">
    <w:name w:val="Char"/>
    <w:basedOn w:val="1"/>
    <w:uiPriority w:val="0"/>
    <w:rPr>
      <w:rFonts w:ascii="Times New Roman" w:hAnsi="Times New Roman" w:cs="Times New Roman"/>
      <w:szCs w:val="24"/>
    </w:rPr>
  </w:style>
  <w:style w:type="character" w:customStyle="1" w:styleId="9">
    <w:name w:val="页脚 Char"/>
    <w:link w:val="2"/>
    <w:semiHidden/>
    <w:uiPriority w:val="0"/>
    <w:rPr>
      <w:rFonts w:ascii="Times New Roman" w:hAnsi="Times New Roman" w:eastAsia="宋体" w:cs="Times New Roman"/>
      <w:sz w:val="18"/>
      <w:szCs w:val="18"/>
    </w:rPr>
  </w:style>
  <w:style w:type="character" w:customStyle="1" w:styleId="10">
    <w:name w:val="页眉 Char"/>
    <w:link w:val="3"/>
    <w:semiHidden/>
    <w:qFormat/>
    <w:uiPriority w:val="0"/>
    <w:rPr>
      <w:rFonts w:ascii="Times New Roman" w:hAnsi="Times New Roman" w:eastAsia="宋体" w:cs="Times New Roman"/>
      <w:sz w:val="18"/>
      <w:szCs w:val="18"/>
    </w:rPr>
  </w:style>
  <w:style w:type="character" w:customStyle="1" w:styleId="11">
    <w:name w:val="font2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468</Words>
  <Characters>2668</Characters>
  <Lines>22</Lines>
  <Paragraphs>6</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lenovo</cp:lastModifiedBy>
  <cp:lastPrinted>2017-02-09T01:57:00Z</cp:lastPrinted>
  <dcterms:modified xsi:type="dcterms:W3CDTF">2019-03-22T08:21:15Z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