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topLinePunct w:val="0"/>
        <w:autoSpaceDE w:val="0"/>
        <w:autoSpaceDN w:val="0"/>
        <w:bidi w:val="0"/>
        <w:adjustRightInd/>
        <w:snapToGrid/>
        <w:spacing w:before="22" w:line="610" w:lineRule="exact"/>
        <w:ind w:right="0"/>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关于202</w:t>
      </w:r>
      <w:r>
        <w:rPr>
          <w:rFonts w:hint="eastAsia" w:ascii="方正小标宋简体" w:hAnsi="方正小标宋简体" w:eastAsia="方正小标宋简体" w:cs="方正小标宋简体"/>
          <w:b/>
          <w:sz w:val="44"/>
          <w:szCs w:val="44"/>
          <w:lang w:val="en-US" w:eastAsia="zh-CN"/>
        </w:rPr>
        <w:t>5年沙河</w:t>
      </w:r>
      <w:r>
        <w:rPr>
          <w:rFonts w:hint="eastAsia" w:ascii="方正小标宋简体" w:hAnsi="方正小标宋简体" w:eastAsia="方正小标宋简体" w:cs="方正小标宋简体"/>
          <w:b/>
          <w:sz w:val="44"/>
          <w:szCs w:val="44"/>
        </w:rPr>
        <w:t>市预算安排情况的</w:t>
      </w:r>
    </w:p>
    <w:p>
      <w:pPr>
        <w:keepNext w:val="0"/>
        <w:keepLines w:val="0"/>
        <w:pageBreakBefore w:val="0"/>
        <w:widowControl w:val="0"/>
        <w:wordWrap/>
        <w:topLinePunct w:val="0"/>
        <w:autoSpaceDE w:val="0"/>
        <w:autoSpaceDN w:val="0"/>
        <w:bidi w:val="0"/>
        <w:adjustRightInd/>
        <w:snapToGrid/>
        <w:spacing w:before="22" w:line="610" w:lineRule="exact"/>
        <w:ind w:right="0"/>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说</w:t>
      </w:r>
      <w:r>
        <w:rPr>
          <w:rFonts w:hint="eastAsia" w:ascii="方正小标宋简体" w:hAnsi="方正小标宋简体" w:eastAsia="方正小标宋简体" w:cs="方正小标宋简体"/>
          <w:b/>
          <w:sz w:val="44"/>
          <w:szCs w:val="44"/>
          <w:lang w:val="en-US" w:eastAsia="zh-CN"/>
        </w:rPr>
        <w:t xml:space="preserve"> </w:t>
      </w:r>
      <w:r>
        <w:rPr>
          <w:rFonts w:hint="eastAsia" w:ascii="方正小标宋简体" w:hAnsi="方正小标宋简体" w:eastAsia="方正小标宋简体" w:cs="方正小标宋简体"/>
          <w:b/>
          <w:sz w:val="44"/>
          <w:szCs w:val="44"/>
        </w:rPr>
        <w:t>明</w:t>
      </w:r>
    </w:p>
    <w:p>
      <w:pPr>
        <w:keepNext w:val="0"/>
        <w:keepLines w:val="0"/>
        <w:pageBreakBefore w:val="0"/>
        <w:widowControl w:val="0"/>
        <w:wordWrap/>
        <w:topLinePunct w:val="0"/>
        <w:autoSpaceDE w:val="0"/>
        <w:autoSpaceDN w:val="0"/>
        <w:bidi w:val="0"/>
        <w:adjustRightInd/>
        <w:snapToGrid/>
        <w:spacing w:before="22" w:line="610" w:lineRule="exact"/>
        <w:ind w:right="0"/>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wordWrap/>
        <w:topLinePunct w:val="0"/>
        <w:autoSpaceDE w:val="0"/>
        <w:autoSpaceDN w:val="0"/>
        <w:bidi w:val="0"/>
        <w:adjustRightInd/>
        <w:snapToGrid/>
        <w:spacing w:before="22" w:line="610" w:lineRule="exact"/>
        <w:ind w:righ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年市级预算编制，坚持以习近平新时代中国特色社会主义思想为指导，全面贯彻党的二十大和二十届三中全会精神，紧紧围绕国家和省委、省政府以及邢台市委、市政府安排部署，坚持稳中求进工作总基调，完整、准确、全面贯彻新发展理念，服务和融入新发展格局，着力推动高质量发展。严格落实党政机关过紧日子要求，兜牢“三保”底线，加强财政资金统筹，优化财政支出结构，强化重大战略任务财力保障，强化预算绩效管理，提高财政资源配置效率和资金使用绩效，为加快建设经济强市、美丽沙河提供有力财政支撑。</w:t>
      </w:r>
    </w:p>
    <w:p>
      <w:pPr>
        <w:keepNext w:val="0"/>
        <w:keepLines w:val="0"/>
        <w:pageBreakBefore w:val="0"/>
        <w:widowControl w:val="0"/>
        <w:numPr>
          <w:ilvl w:val="0"/>
          <w:numId w:val="1"/>
        </w:numPr>
        <w:wordWrap/>
        <w:topLinePunct w:val="0"/>
        <w:autoSpaceDE w:val="0"/>
        <w:autoSpaceDN w:val="0"/>
        <w:bidi w:val="0"/>
        <w:adjustRightInd/>
        <w:snapToGrid/>
        <w:spacing w:before="0" w:line="610" w:lineRule="exact"/>
        <w:ind w:right="0" w:rightChars="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202</w:t>
      </w:r>
      <w:r>
        <w:rPr>
          <w:rFonts w:hint="eastAsia" w:ascii="黑体" w:hAnsi="黑体" w:eastAsia="黑体" w:cs="黑体"/>
          <w:b w:val="0"/>
          <w:bCs/>
          <w:sz w:val="32"/>
          <w:szCs w:val="32"/>
          <w:lang w:val="en-US" w:eastAsia="zh-CN"/>
        </w:rPr>
        <w:t>5</w:t>
      </w:r>
      <w:r>
        <w:rPr>
          <w:rFonts w:hint="eastAsia" w:ascii="黑体" w:hAnsi="黑体" w:eastAsia="黑体" w:cs="黑体"/>
          <w:b w:val="0"/>
          <w:bCs/>
          <w:sz w:val="32"/>
          <w:szCs w:val="32"/>
        </w:rPr>
        <w:t>年预算安排情况说明</w:t>
      </w:r>
    </w:p>
    <w:p>
      <w:pPr>
        <w:keepNext w:val="0"/>
        <w:keepLines w:val="0"/>
        <w:pageBreakBefore w:val="0"/>
        <w:widowControl w:val="0"/>
        <w:wordWrap/>
        <w:topLinePunct w:val="0"/>
        <w:autoSpaceDE w:val="0"/>
        <w:autoSpaceDN w:val="0"/>
        <w:bidi w:val="0"/>
        <w:adjustRightInd/>
        <w:snapToGrid/>
        <w:spacing w:before="22" w:line="610" w:lineRule="exact"/>
        <w:ind w:right="0" w:firstLine="643"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一般公共预算：</w:t>
      </w:r>
      <w:r>
        <w:rPr>
          <w:rFonts w:hint="eastAsia" w:ascii="仿宋_GB2312" w:hAnsi="仿宋_GB2312" w:eastAsia="仿宋_GB2312" w:cs="仿宋_GB2312"/>
          <w:b w:val="0"/>
          <w:bCs/>
          <w:sz w:val="32"/>
          <w:szCs w:val="32"/>
          <w:lang w:val="en-US" w:eastAsia="zh-CN"/>
        </w:rPr>
        <w:t>2025年一般公共预算总收入为397067万元，其中：本级收入163600万元，上级税收返还收入7325万元，上级转移支付收入128758万元，调入资金50000万元，动用预算稳定调节基金3000万元，债务转贷收入14000万元，上年结余收入30384万元；2025年一般公共预算总支出为397067万元，其中：本级支出预算安排362839亿元，上解上级支出18462万元，一般债务还本支出15766万元。</w:t>
      </w:r>
    </w:p>
    <w:p>
      <w:pPr>
        <w:keepNext w:val="0"/>
        <w:keepLines w:val="0"/>
        <w:pageBreakBefore w:val="0"/>
        <w:widowControl w:val="0"/>
        <w:wordWrap/>
        <w:topLinePunct w:val="0"/>
        <w:autoSpaceDE w:val="0"/>
        <w:autoSpaceDN w:val="0"/>
        <w:bidi w:val="0"/>
        <w:adjustRightInd/>
        <w:snapToGrid/>
        <w:spacing w:before="22" w:line="610" w:lineRule="exact"/>
        <w:ind w:right="0" w:firstLine="643"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政府性基金预算：</w:t>
      </w:r>
      <w:r>
        <w:rPr>
          <w:rFonts w:hint="eastAsia" w:ascii="仿宋_GB2312" w:hAnsi="仿宋_GB2312" w:eastAsia="仿宋_GB2312" w:cs="仿宋_GB2312"/>
          <w:b w:val="0"/>
          <w:bCs/>
          <w:sz w:val="32"/>
          <w:szCs w:val="32"/>
          <w:lang w:val="en-US" w:eastAsia="zh-CN"/>
        </w:rPr>
        <w:t>2025年政府性基金预算总收入为204362万元，其中：本级收入安排159000万元、上级补助收入3414万元、上年结余收入24948万元、债务转贷收入17000万元；2025年政府性基金预算总支出为204362万元，其中：本级支出134962万元、债务还本支出19400万元、调出资金50000万元。</w:t>
      </w:r>
    </w:p>
    <w:p>
      <w:pPr>
        <w:keepNext w:val="0"/>
        <w:keepLines w:val="0"/>
        <w:pageBreakBefore w:val="0"/>
        <w:widowControl w:val="0"/>
        <w:wordWrap/>
        <w:topLinePunct w:val="0"/>
        <w:autoSpaceDE w:val="0"/>
        <w:autoSpaceDN w:val="0"/>
        <w:bidi w:val="0"/>
        <w:adjustRightInd/>
        <w:snapToGrid/>
        <w:spacing w:before="22" w:line="610" w:lineRule="exact"/>
        <w:ind w:right="0" w:firstLine="643"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国有资本经营预算：</w:t>
      </w:r>
      <w:r>
        <w:rPr>
          <w:rFonts w:hint="eastAsia" w:ascii="仿宋_GB2312" w:hAnsi="仿宋_GB2312" w:eastAsia="仿宋_GB2312" w:cs="仿宋_GB2312"/>
          <w:b w:val="0"/>
          <w:bCs/>
          <w:sz w:val="32"/>
          <w:szCs w:val="32"/>
          <w:lang w:val="en-US" w:eastAsia="zh-CN"/>
        </w:rPr>
        <w:t>2025年国有资本经营预算总收入为88万元，其中：上级补助收入72万元，上年结余16万元；2025年国有资本经营预算总支出88万元，其中：本级安排支出88万元。</w:t>
      </w:r>
    </w:p>
    <w:p>
      <w:pPr>
        <w:keepNext w:val="0"/>
        <w:keepLines w:val="0"/>
        <w:pageBreakBefore w:val="0"/>
        <w:widowControl w:val="0"/>
        <w:wordWrap/>
        <w:topLinePunct w:val="0"/>
        <w:autoSpaceDE w:val="0"/>
        <w:autoSpaceDN w:val="0"/>
        <w:bidi w:val="0"/>
        <w:adjustRightInd/>
        <w:snapToGrid/>
        <w:spacing w:before="22" w:line="610" w:lineRule="exact"/>
        <w:ind w:right="0" w:firstLine="643"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社会保险基金预算：</w:t>
      </w:r>
      <w:r>
        <w:rPr>
          <w:rFonts w:hint="eastAsia" w:ascii="仿宋_GB2312" w:hAnsi="仿宋_GB2312" w:eastAsia="仿宋_GB2312" w:cs="仿宋_GB2312"/>
          <w:b w:val="0"/>
          <w:bCs/>
          <w:sz w:val="32"/>
          <w:szCs w:val="32"/>
          <w:lang w:val="en-US" w:eastAsia="zh-CN"/>
        </w:rPr>
        <w:t>2025年社保基金收入预算100577.82万元。包括：①本年收入预算安排57190.77万元，其中：机关事业单位基本养老保险基金38436.08万元、城乡居民基本养老保险基金18754.69万元。②上年结余43387.05万元；社保基金总支出100577.82万元。包括：①本年支出安排50059.59万元，其中：机关事业单位基本养老保险基金36268.39万元、城乡居民基本养老保险基金13791.2万元。②年末滚存结余50518.23万元。</w:t>
      </w:r>
    </w:p>
    <w:p>
      <w:pPr>
        <w:keepNext w:val="0"/>
        <w:keepLines w:val="0"/>
        <w:pageBreakBefore w:val="0"/>
        <w:widowControl w:val="0"/>
        <w:numPr>
          <w:ilvl w:val="0"/>
          <w:numId w:val="1"/>
        </w:numPr>
        <w:wordWrap/>
        <w:topLinePunct w:val="0"/>
        <w:autoSpaceDE w:val="0"/>
        <w:autoSpaceDN w:val="0"/>
        <w:bidi w:val="0"/>
        <w:adjustRightInd/>
        <w:snapToGrid/>
        <w:spacing w:before="0" w:line="610" w:lineRule="exact"/>
        <w:ind w:right="0" w:rightChars="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关于“三公”经费安排情况的说明</w:t>
      </w: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right="0" w:rightChars="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我</w:t>
      </w:r>
      <w:r>
        <w:rPr>
          <w:rFonts w:hint="eastAsia" w:ascii="仿宋_GB2312" w:hAnsi="仿宋_GB2312" w:eastAsia="仿宋_GB2312" w:cs="仿宋_GB2312"/>
          <w:b w:val="0"/>
          <w:bCs/>
          <w:sz w:val="32"/>
          <w:szCs w:val="32"/>
          <w:lang w:val="en-US" w:eastAsia="zh-CN"/>
        </w:rPr>
        <w:t>市</w:t>
      </w:r>
      <w:r>
        <w:rPr>
          <w:rFonts w:hint="eastAsia" w:ascii="仿宋_GB2312" w:hAnsi="仿宋_GB2312" w:eastAsia="仿宋_GB2312" w:cs="仿宋_GB2312"/>
          <w:b w:val="0"/>
          <w:bCs/>
          <w:sz w:val="32"/>
          <w:szCs w:val="32"/>
        </w:rPr>
        <w:t>严格落实中央八项规定和《党政机关厉行节约反对浪费条例》，大力压减“三公”经费支出，202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年“三公”经费预算安排567.68万元，与上年持平。其中</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因公出国（境）费0万元,与上年持平</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公务接待费105.9万元，与上年持平</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公务用车购置费117.78万元，与上年持平</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公车运行维护费344万元，与上年持平。</w:t>
      </w:r>
    </w:p>
    <w:p>
      <w:pPr>
        <w:keepNext w:val="0"/>
        <w:keepLines w:val="0"/>
        <w:pageBreakBefore w:val="0"/>
        <w:widowControl w:val="0"/>
        <w:numPr>
          <w:ilvl w:val="0"/>
          <w:numId w:val="1"/>
        </w:numPr>
        <w:wordWrap/>
        <w:topLinePunct w:val="0"/>
        <w:autoSpaceDE w:val="0"/>
        <w:autoSpaceDN w:val="0"/>
        <w:bidi w:val="0"/>
        <w:adjustRightInd/>
        <w:snapToGrid/>
        <w:spacing w:before="0" w:line="610" w:lineRule="exact"/>
        <w:ind w:right="0" w:rightChars="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关于举借债务情况的说明</w:t>
      </w:r>
    </w:p>
    <w:p>
      <w:pPr>
        <w:keepNext w:val="0"/>
        <w:keepLines w:val="0"/>
        <w:pageBreakBefore w:val="0"/>
        <w:widowControl w:val="0"/>
        <w:numPr>
          <w:ilvl w:val="0"/>
          <w:numId w:val="0"/>
        </w:numPr>
        <w:wordWrap/>
        <w:topLinePunct w:val="0"/>
        <w:autoSpaceDE w:val="0"/>
        <w:autoSpaceDN w:val="0"/>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年需安排市本级地方政府一般债券还本付息资金</w:t>
      </w:r>
      <w:r>
        <w:rPr>
          <w:rFonts w:hint="eastAsia" w:ascii="仿宋_GB2312" w:hAnsi="仿宋_GB2312" w:eastAsia="仿宋_GB2312" w:cs="仿宋_GB2312"/>
          <w:b w:val="0"/>
          <w:bCs/>
          <w:sz w:val="32"/>
          <w:szCs w:val="32"/>
          <w:lang w:val="en-US" w:eastAsia="zh-CN"/>
        </w:rPr>
        <w:t>23300万</w:t>
      </w:r>
      <w:r>
        <w:rPr>
          <w:rFonts w:hint="eastAsia" w:ascii="仿宋_GB2312" w:hAnsi="仿宋_GB2312" w:eastAsia="仿宋_GB2312" w:cs="仿宋_GB2312"/>
          <w:b w:val="0"/>
          <w:bCs/>
          <w:sz w:val="32"/>
          <w:szCs w:val="32"/>
        </w:rPr>
        <w:t>元，其中</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偿还一般债券到期本金</w:t>
      </w:r>
      <w:r>
        <w:rPr>
          <w:rFonts w:hint="eastAsia" w:ascii="仿宋_GB2312" w:hAnsi="仿宋_GB2312" w:eastAsia="仿宋_GB2312" w:cs="仿宋_GB2312"/>
          <w:b w:val="0"/>
          <w:bCs/>
          <w:sz w:val="32"/>
          <w:szCs w:val="32"/>
          <w:lang w:val="en-US" w:eastAsia="zh-CN"/>
        </w:rPr>
        <w:t>15766万</w:t>
      </w:r>
      <w:r>
        <w:rPr>
          <w:rFonts w:hint="eastAsia" w:ascii="仿宋_GB2312" w:hAnsi="仿宋_GB2312" w:eastAsia="仿宋_GB2312" w:cs="仿宋_GB2312"/>
          <w:b w:val="0"/>
          <w:bCs/>
          <w:sz w:val="32"/>
          <w:szCs w:val="32"/>
        </w:rPr>
        <w:t>元，偿还一般债券</w:t>
      </w:r>
      <w:r>
        <w:rPr>
          <w:rFonts w:hint="eastAsia" w:ascii="仿宋_GB2312" w:hAnsi="仿宋_GB2312" w:eastAsia="仿宋_GB2312" w:cs="仿宋_GB2312"/>
          <w:b w:val="0"/>
          <w:bCs/>
          <w:color w:val="auto"/>
          <w:sz w:val="32"/>
          <w:szCs w:val="32"/>
        </w:rPr>
        <w:t>到期利息</w:t>
      </w:r>
      <w:r>
        <w:rPr>
          <w:rFonts w:hint="eastAsia" w:ascii="仿宋_GB2312" w:hAnsi="仿宋_GB2312" w:eastAsia="仿宋_GB2312" w:cs="仿宋_GB2312"/>
          <w:b w:val="0"/>
          <w:bCs/>
          <w:color w:val="auto"/>
          <w:sz w:val="32"/>
          <w:szCs w:val="32"/>
          <w:lang w:val="en-US" w:eastAsia="zh-CN"/>
        </w:rPr>
        <w:t>7534万</w:t>
      </w:r>
      <w:r>
        <w:rPr>
          <w:rFonts w:hint="eastAsia" w:ascii="仿宋_GB2312" w:hAnsi="仿宋_GB2312" w:eastAsia="仿宋_GB2312" w:cs="仿宋_GB2312"/>
          <w:b w:val="0"/>
          <w:bCs/>
          <w:color w:val="auto"/>
          <w:sz w:val="32"/>
          <w:szCs w:val="32"/>
        </w:rPr>
        <w:t>元。截至202</w:t>
      </w: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年底，市本级政府一般债务余额</w:t>
      </w:r>
      <w:r>
        <w:rPr>
          <w:rFonts w:hint="eastAsia" w:ascii="仿宋_GB2312" w:hAnsi="仿宋_GB2312" w:eastAsia="仿宋_GB2312" w:cs="仿宋_GB2312"/>
          <w:b w:val="0"/>
          <w:bCs/>
          <w:color w:val="auto"/>
          <w:sz w:val="32"/>
          <w:szCs w:val="32"/>
          <w:highlight w:val="yellow"/>
          <w:lang w:val="en-US" w:eastAsia="zh-CN"/>
        </w:rPr>
        <w:t>228079</w:t>
      </w:r>
      <w:r>
        <w:rPr>
          <w:rFonts w:hint="eastAsia" w:ascii="仿宋_GB2312" w:hAnsi="仿宋_GB2312" w:eastAsia="仿宋_GB2312" w:cs="仿宋_GB2312"/>
          <w:b w:val="0"/>
          <w:bCs/>
          <w:color w:val="auto"/>
          <w:sz w:val="32"/>
          <w:szCs w:val="32"/>
          <w:lang w:val="en-US" w:eastAsia="zh-CN"/>
        </w:rPr>
        <w:t>万</w:t>
      </w:r>
      <w:r>
        <w:rPr>
          <w:rFonts w:hint="eastAsia" w:ascii="仿宋_GB2312" w:hAnsi="仿宋_GB2312" w:eastAsia="仿宋_GB2312" w:cs="仿宋_GB2312"/>
          <w:b w:val="0"/>
          <w:bCs/>
          <w:color w:val="auto"/>
          <w:sz w:val="32"/>
          <w:szCs w:val="32"/>
        </w:rPr>
        <w:t>元。202</w:t>
      </w: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rPr>
        <w:t>年需安排市本级地方政府专项债券还本付息资金</w:t>
      </w:r>
      <w:r>
        <w:rPr>
          <w:rFonts w:hint="eastAsia" w:ascii="仿宋_GB2312" w:hAnsi="仿宋_GB2312" w:eastAsia="仿宋_GB2312" w:cs="仿宋_GB2312"/>
          <w:b w:val="0"/>
          <w:bCs/>
          <w:color w:val="auto"/>
          <w:sz w:val="32"/>
          <w:szCs w:val="32"/>
          <w:lang w:val="en-US" w:eastAsia="zh-CN"/>
        </w:rPr>
        <w:t>29016万</w:t>
      </w:r>
      <w:r>
        <w:rPr>
          <w:rFonts w:hint="eastAsia" w:ascii="仿宋_GB2312" w:hAnsi="仿宋_GB2312" w:eastAsia="仿宋_GB2312" w:cs="仿宋_GB2312"/>
          <w:b w:val="0"/>
          <w:bCs/>
          <w:color w:val="auto"/>
          <w:sz w:val="32"/>
          <w:szCs w:val="32"/>
        </w:rPr>
        <w:t>元，其中</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偿还专项债券到期本金</w:t>
      </w:r>
      <w:r>
        <w:rPr>
          <w:rFonts w:hint="eastAsia" w:ascii="仿宋_GB2312" w:hAnsi="仿宋_GB2312" w:eastAsia="仿宋_GB2312" w:cs="仿宋_GB2312"/>
          <w:b w:val="0"/>
          <w:bCs/>
          <w:color w:val="auto"/>
          <w:sz w:val="32"/>
          <w:szCs w:val="32"/>
          <w:lang w:val="en-US" w:eastAsia="zh-CN"/>
        </w:rPr>
        <w:t>19400万</w:t>
      </w:r>
      <w:r>
        <w:rPr>
          <w:rFonts w:hint="eastAsia" w:ascii="仿宋_GB2312" w:hAnsi="仿宋_GB2312" w:eastAsia="仿宋_GB2312" w:cs="仿宋_GB2312"/>
          <w:b w:val="0"/>
          <w:bCs/>
          <w:color w:val="auto"/>
          <w:sz w:val="32"/>
          <w:szCs w:val="32"/>
        </w:rPr>
        <w:t>元，偿还专项债券到期利息</w:t>
      </w:r>
      <w:r>
        <w:rPr>
          <w:rFonts w:hint="eastAsia" w:ascii="仿宋_GB2312" w:hAnsi="仿宋_GB2312" w:eastAsia="仿宋_GB2312" w:cs="仿宋_GB2312"/>
          <w:b w:val="0"/>
          <w:bCs/>
          <w:color w:val="auto"/>
          <w:sz w:val="32"/>
          <w:szCs w:val="32"/>
          <w:lang w:val="en-US" w:eastAsia="zh-CN"/>
        </w:rPr>
        <w:t>9616万元</w:t>
      </w:r>
      <w:r>
        <w:rPr>
          <w:rFonts w:hint="eastAsia" w:ascii="仿宋_GB2312" w:hAnsi="仿宋_GB2312" w:eastAsia="仿宋_GB2312" w:cs="仿宋_GB2312"/>
          <w:b w:val="0"/>
          <w:bCs/>
          <w:color w:val="auto"/>
          <w:sz w:val="32"/>
          <w:szCs w:val="32"/>
        </w:rPr>
        <w:t>。截至202</w:t>
      </w: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年底，市本级政府专项债务余额</w:t>
      </w:r>
      <w:r>
        <w:rPr>
          <w:rFonts w:hint="eastAsia" w:ascii="仿宋_GB2312" w:hAnsi="仿宋_GB2312" w:eastAsia="仿宋_GB2312" w:cs="仿宋_GB2312"/>
          <w:b w:val="0"/>
          <w:bCs/>
          <w:color w:val="auto"/>
          <w:sz w:val="32"/>
          <w:szCs w:val="32"/>
          <w:highlight w:val="yellow"/>
          <w:lang w:val="en-US" w:eastAsia="zh-CN"/>
        </w:rPr>
        <w:t>285800</w:t>
      </w:r>
      <w:r>
        <w:rPr>
          <w:rFonts w:hint="eastAsia" w:ascii="仿宋_GB2312" w:hAnsi="仿宋_GB2312" w:eastAsia="仿宋_GB2312" w:cs="仿宋_GB2312"/>
          <w:b w:val="0"/>
          <w:bCs/>
          <w:color w:val="auto"/>
          <w:sz w:val="32"/>
          <w:szCs w:val="32"/>
          <w:lang w:val="en-US" w:eastAsia="zh-CN"/>
        </w:rPr>
        <w:t>万</w:t>
      </w:r>
      <w:r>
        <w:rPr>
          <w:rFonts w:hint="eastAsia" w:ascii="仿宋_GB2312" w:hAnsi="仿宋_GB2312" w:eastAsia="仿宋_GB2312" w:cs="仿宋_GB2312"/>
          <w:b w:val="0"/>
          <w:bCs/>
          <w:color w:val="auto"/>
          <w:sz w:val="32"/>
          <w:szCs w:val="32"/>
        </w:rPr>
        <w:t>元。</w:t>
      </w:r>
    </w:p>
    <w:p>
      <w:pPr>
        <w:keepNext w:val="0"/>
        <w:keepLines w:val="0"/>
        <w:pageBreakBefore w:val="0"/>
        <w:widowControl w:val="0"/>
        <w:numPr>
          <w:ilvl w:val="0"/>
          <w:numId w:val="0"/>
        </w:numPr>
        <w:wordWrap/>
        <w:topLinePunct w:val="0"/>
        <w:autoSpaceDE w:val="0"/>
        <w:autoSpaceDN w:val="0"/>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需要说明的是：202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年地方政府新增债务限额暂未下达，待省级下达我市新增限额后，按程序提请市人大常委会批准审议。</w:t>
      </w:r>
    </w:p>
    <w:p>
      <w:pPr>
        <w:keepNext w:val="0"/>
        <w:keepLines w:val="0"/>
        <w:pageBreakBefore w:val="0"/>
        <w:widowControl w:val="0"/>
        <w:numPr>
          <w:ilvl w:val="0"/>
          <w:numId w:val="1"/>
        </w:numPr>
        <w:wordWrap/>
        <w:topLinePunct w:val="0"/>
        <w:autoSpaceDE w:val="0"/>
        <w:autoSpaceDN w:val="0"/>
        <w:bidi w:val="0"/>
        <w:adjustRightInd/>
        <w:snapToGrid/>
        <w:spacing w:before="0" w:line="610" w:lineRule="exact"/>
        <w:ind w:right="0" w:rightChars="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关于转移支付情况的说明</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一般性转移支付：</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年预算安排一般性转移支付</w:t>
      </w:r>
      <w:r>
        <w:rPr>
          <w:rFonts w:hint="eastAsia" w:ascii="仿宋_GB2312" w:hAnsi="仿宋_GB2312" w:eastAsia="仿宋_GB2312" w:cs="仿宋_GB2312"/>
          <w:sz w:val="32"/>
          <w:szCs w:val="32"/>
          <w:lang w:val="en-US" w:eastAsia="zh-CN"/>
        </w:rPr>
        <w:t>120714</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bottom"/>
        <w:rPr>
          <w:rFonts w:hint="eastAsia" w:ascii="仿宋_GB2312" w:hAnsi="仿宋_GB2312" w:eastAsia="仿宋_GB2312" w:cs="仿宋_GB2312"/>
          <w:sz w:val="32"/>
          <w:szCs w:val="32"/>
          <w:highlight w:val="none"/>
        </w:rPr>
      </w:pPr>
      <w:r>
        <w:rPr>
          <w:rFonts w:hint="eastAsia" w:ascii="仿宋_GB2312" w:hAnsi="仿宋_GB2312" w:eastAsia="仿宋_GB2312" w:cs="仿宋_GB2312"/>
          <w:bCs/>
          <w:color w:val="auto"/>
          <w:kern w:val="0"/>
          <w:sz w:val="32"/>
          <w:szCs w:val="32"/>
          <w:highlight w:val="none"/>
          <w:lang w:val="en-US" w:eastAsia="zh-CN"/>
        </w:rPr>
        <w:t>1、</w:t>
      </w:r>
      <w:r>
        <w:rPr>
          <w:rFonts w:hint="eastAsia" w:ascii="仿宋_GB2312" w:hAnsi="仿宋_GB2312" w:eastAsia="仿宋_GB2312" w:cs="仿宋_GB2312"/>
          <w:sz w:val="32"/>
          <w:szCs w:val="32"/>
          <w:highlight w:val="none"/>
        </w:rPr>
        <w:t>均衡性转移支付收入</w:t>
      </w:r>
      <w:r>
        <w:rPr>
          <w:rFonts w:hint="eastAsia" w:ascii="仿宋_GB2312" w:hAnsi="仿宋_GB2312" w:eastAsia="仿宋_GB2312" w:cs="仿宋_GB2312"/>
          <w:sz w:val="32"/>
          <w:szCs w:val="32"/>
          <w:highlight w:val="none"/>
          <w:lang w:val="en-US" w:eastAsia="zh-CN"/>
        </w:rPr>
        <w:t>32460</w:t>
      </w:r>
      <w:r>
        <w:rPr>
          <w:rFonts w:hint="eastAsia" w:ascii="仿宋_GB2312" w:hAnsi="仿宋_GB2312" w:eastAsia="仿宋_GB2312" w:cs="仿宋_GB2312"/>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bottom"/>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2、县级基本财力保障机制奖补资金收入17401万元。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bottom"/>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3、结算补助收入320万元。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bottom"/>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4、重点生态功能区转移支付收入3768万元。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bottom"/>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5、固定数额补助收入8808万元。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bottom"/>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6、革命老区转移支付收入973万元。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bottom"/>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7、巩固脱贫攻坚成果衔接乡村振兴转移支付补助收入1758万元。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8、共同财政事权转移支付收入 54546万元。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9、其他一般性转移支付收入680万元。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专项转移支付：</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年预算安排专项转移支付</w:t>
      </w:r>
      <w:r>
        <w:rPr>
          <w:rFonts w:hint="eastAsia" w:ascii="仿宋_GB2312" w:hAnsi="仿宋_GB2312" w:eastAsia="仿宋_GB2312" w:cs="仿宋_GB2312"/>
          <w:sz w:val="32"/>
          <w:szCs w:val="32"/>
          <w:lang w:val="en-US" w:eastAsia="zh-CN"/>
        </w:rPr>
        <w:t>8043</w:t>
      </w:r>
      <w:r>
        <w:rPr>
          <w:rFonts w:hint="eastAsia" w:ascii="仿宋_GB2312" w:hAnsi="仿宋_GB2312" w:eastAsia="仿宋_GB2312" w:cs="仿宋_GB2312"/>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132</w:t>
      </w:r>
      <w:r>
        <w:rPr>
          <w:rFonts w:hint="eastAsia" w:ascii="仿宋_GB2312" w:hAnsi="仿宋_GB2312" w:eastAsia="仿宋_GB2312" w:cs="仿宋_GB2312"/>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节能环保</w:t>
      </w:r>
      <w:r>
        <w:rPr>
          <w:rFonts w:hint="eastAsia" w:ascii="仿宋_GB2312" w:hAnsi="仿宋_GB2312" w:eastAsia="仿宋_GB2312" w:cs="仿宋_GB2312"/>
          <w:sz w:val="32"/>
          <w:szCs w:val="32"/>
          <w:lang w:val="en-US" w:eastAsia="zh-CN"/>
        </w:rPr>
        <w:t>1753</w:t>
      </w:r>
      <w:r>
        <w:rPr>
          <w:rFonts w:hint="eastAsia" w:ascii="仿宋_GB2312" w:hAnsi="仿宋_GB2312" w:eastAsia="仿宋_GB2312" w:cs="仿宋_GB2312"/>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农林水</w:t>
      </w:r>
      <w:r>
        <w:rPr>
          <w:rFonts w:hint="eastAsia" w:ascii="仿宋_GB2312" w:hAnsi="仿宋_GB2312" w:eastAsia="仿宋_GB2312" w:cs="仿宋_GB2312"/>
          <w:sz w:val="32"/>
          <w:szCs w:val="32"/>
          <w:lang w:val="en-US" w:eastAsia="zh-CN"/>
        </w:rPr>
        <w:t>1414</w:t>
      </w:r>
      <w:r>
        <w:rPr>
          <w:rFonts w:hint="eastAsia" w:ascii="仿宋_GB2312" w:hAnsi="仿宋_GB2312" w:eastAsia="仿宋_GB2312" w:cs="仿宋_GB2312"/>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4、交通运输4743万元。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4、资源勘探工业信息等1万元。</w:t>
      </w:r>
    </w:p>
    <w:p>
      <w:pPr>
        <w:keepNext w:val="0"/>
        <w:keepLines w:val="0"/>
        <w:pageBreakBefore w:val="0"/>
        <w:widowControl w:val="0"/>
        <w:numPr>
          <w:ilvl w:val="0"/>
          <w:numId w:val="1"/>
        </w:numPr>
        <w:wordWrap/>
        <w:topLinePunct w:val="0"/>
        <w:autoSpaceDE w:val="0"/>
        <w:autoSpaceDN w:val="0"/>
        <w:bidi w:val="0"/>
        <w:adjustRightInd/>
        <w:snapToGrid/>
        <w:spacing w:before="0" w:line="610" w:lineRule="exact"/>
        <w:ind w:right="0" w:rightChars="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202</w:t>
      </w:r>
      <w:r>
        <w:rPr>
          <w:rFonts w:hint="eastAsia" w:ascii="黑体" w:hAnsi="黑体" w:eastAsia="黑体" w:cs="黑体"/>
          <w:b w:val="0"/>
          <w:bCs/>
          <w:sz w:val="32"/>
          <w:szCs w:val="32"/>
          <w:lang w:val="en-US" w:eastAsia="zh-CN"/>
        </w:rPr>
        <w:t>5</w:t>
      </w:r>
      <w:r>
        <w:rPr>
          <w:rFonts w:hint="eastAsia" w:ascii="黑体" w:hAnsi="黑体" w:eastAsia="黑体" w:cs="黑体"/>
          <w:b w:val="0"/>
          <w:bCs/>
          <w:sz w:val="32"/>
          <w:szCs w:val="32"/>
        </w:rPr>
        <w:t>年政府采购预算情况说明</w:t>
      </w:r>
    </w:p>
    <w:p>
      <w:pPr>
        <w:keepNext w:val="0"/>
        <w:keepLines w:val="0"/>
        <w:pageBreakBefore w:val="0"/>
        <w:widowControl w:val="0"/>
        <w:wordWrap/>
        <w:topLinePunct w:val="0"/>
        <w:autoSpaceDE w:val="0"/>
        <w:autoSpaceDN w:val="0"/>
        <w:bidi w:val="0"/>
        <w:adjustRightInd/>
        <w:snapToGrid/>
        <w:spacing w:before="22" w:line="610" w:lineRule="exact"/>
        <w:ind w:right="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2025年市级政府采购预算编制要求为：纳入部门预算管理的所有财政资金采购货物、工程和服务，凡是河北省政府集中采购目录以内的或政府集中采购目录以外且单项或批量采购金额达到政府采购限额标准以上的，都应编列部门政府采购预算。2025年政府采购货物服务限额标准为：货物和服务单项或批量预算金额30万元（含）以上，政府采购工程项目采购限额标准60万元（含）以上。公开招标限额标准为：货物类和服务类200万元（含），工程类按照相关规定执行。</w:t>
      </w:r>
    </w:p>
    <w:p>
      <w:pPr>
        <w:keepNext w:val="0"/>
        <w:keepLines w:val="0"/>
        <w:pageBreakBefore w:val="0"/>
        <w:widowControl w:val="0"/>
        <w:numPr>
          <w:ilvl w:val="0"/>
          <w:numId w:val="1"/>
        </w:numPr>
        <w:wordWrap/>
        <w:topLinePunct w:val="0"/>
        <w:autoSpaceDE w:val="0"/>
        <w:autoSpaceDN w:val="0"/>
        <w:bidi w:val="0"/>
        <w:adjustRightInd/>
        <w:snapToGrid/>
        <w:spacing w:before="0" w:line="610" w:lineRule="exact"/>
        <w:ind w:right="0" w:rightChars="0" w:firstLine="640" w:firstLineChars="20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预算绩效管理工作开展情况</w:t>
      </w:r>
    </w:p>
    <w:p>
      <w:pPr>
        <w:spacing w:line="61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沙河市预算绩效管理工作坚持积极谋划、主动作为、多措并举，认真贯彻落实中央、省、市关于全面实施预算绩效管理决策部署，坚持以全面实施预算绩效管理为关键点和突破口，有力推动预算绩效管理工作提质增效，提升财政资金使用效益和政策实施效果。</w:t>
      </w:r>
    </w:p>
    <w:p>
      <w:pPr>
        <w:spacing w:line="610" w:lineRule="exact"/>
        <w:ind w:firstLine="643"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b/>
          <w:bCs/>
          <w:sz w:val="32"/>
          <w:szCs w:val="32"/>
          <w:lang w:val="en-US" w:eastAsia="zh-CN"/>
        </w:rPr>
        <w:t>一是开展事前绩效评估。</w:t>
      </w:r>
      <w:r>
        <w:rPr>
          <w:rFonts w:hint="eastAsia" w:ascii="仿宋_GB2312" w:hAnsi="仿宋" w:eastAsia="仿宋_GB2312" w:cs="仿宋_GB2312"/>
          <w:sz w:val="32"/>
          <w:szCs w:val="32"/>
          <w:lang w:val="en-US" w:eastAsia="zh-CN"/>
        </w:rPr>
        <w:t>在编制下年度预算时开展绩效评估，将事前绩效评估报告作为申请预算的必备条件，对新增重大政策、重大专项未按要求开展绩效评估或绩效评估结果差的不得列入年度预算，相关项目不得纳入预算项目库，并将评估结果应用于预算编制。</w:t>
      </w:r>
    </w:p>
    <w:p>
      <w:pPr>
        <w:spacing w:line="610" w:lineRule="exact"/>
        <w:ind w:firstLine="643"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b/>
          <w:bCs/>
          <w:sz w:val="32"/>
          <w:szCs w:val="32"/>
          <w:lang w:val="en-US" w:eastAsia="zh-CN"/>
        </w:rPr>
        <w:t>二是做实绩效监控</w:t>
      </w:r>
      <w:r>
        <w:rPr>
          <w:rFonts w:hint="eastAsia" w:ascii="仿宋_GB2312" w:hAnsi="仿宋" w:eastAsia="仿宋_GB2312" w:cs="仿宋_GB2312"/>
          <w:sz w:val="32"/>
          <w:szCs w:val="32"/>
          <w:lang w:val="en-US" w:eastAsia="zh-CN"/>
        </w:rPr>
        <w:t>。定期对各预算部门绩效目标实现程度和预算执行情况开展绩效监控汇总，分析存在的问题，结合预算执行，提出建议意见，督促单位及时整改。对预算执行明显偏离绩效目标、大幅落后进度要求或预计难以完成绩效目标的，按程序采取暂缓或停止拨款、调整预算、调整绩效目标指标等措施。</w:t>
      </w:r>
    </w:p>
    <w:p>
      <w:pPr>
        <w:spacing w:line="610" w:lineRule="exact"/>
        <w:ind w:firstLine="643"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b/>
          <w:bCs/>
          <w:sz w:val="32"/>
          <w:szCs w:val="32"/>
          <w:lang w:val="en-US" w:eastAsia="zh-CN"/>
        </w:rPr>
        <w:t>三是加强绩效评价。</w:t>
      </w:r>
      <w:r>
        <w:rPr>
          <w:rFonts w:hint="eastAsia" w:ascii="仿宋_GB2312" w:hAnsi="仿宋" w:eastAsia="仿宋_GB2312" w:cs="仿宋_GB2312"/>
          <w:sz w:val="32"/>
          <w:szCs w:val="32"/>
          <w:lang w:val="en-US" w:eastAsia="zh-CN"/>
        </w:rPr>
        <w:t>科学设置评价指标，形成各类支出、目标内容、绩效特色、细化量化的绩效指标体系。将项目实施水平、经济效益、社会效益、生态效益和可持续影响等列为评价范围。建立绩效评价结果的反馈与整改、激励与问责制度，进一步完善绩效评价结果的反馈和运用机制，将绩效结果公开，进一步增强单位的责任感和紧迫感。</w:t>
      </w: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重大政策和重点项目等绩效目标：</w:t>
      </w:r>
    </w:p>
    <w:p>
      <w:pPr>
        <w:keepNext w:val="0"/>
        <w:keepLines w:val="0"/>
        <w:pageBreakBefore w:val="0"/>
        <w:widowControl w:val="0"/>
        <w:numPr>
          <w:ilvl w:val="0"/>
          <w:numId w:val="2"/>
        </w:numPr>
        <w:wordWrap/>
        <w:topLinePunct w:val="0"/>
        <w:autoSpaceDE w:val="0"/>
        <w:autoSpaceDN w:val="0"/>
        <w:bidi w:val="0"/>
        <w:adjustRightInd/>
        <w:snapToGrid/>
        <w:spacing w:before="22" w:line="610" w:lineRule="exact"/>
        <w:ind w:right="0" w:rightChars="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财政对城乡居民基本养老保险基金的补助</w:t>
      </w: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right="0" w:rightChars="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drawing>
          <wp:anchor distT="0" distB="0" distL="114300" distR="114300" simplePos="0" relativeHeight="251669504" behindDoc="0" locked="0" layoutInCell="1" allowOverlap="1">
            <wp:simplePos x="0" y="0"/>
            <wp:positionH relativeFrom="column">
              <wp:posOffset>-345440</wp:posOffset>
            </wp:positionH>
            <wp:positionV relativeFrom="paragraph">
              <wp:posOffset>330835</wp:posOffset>
            </wp:positionV>
            <wp:extent cx="5737860" cy="3444240"/>
            <wp:effectExtent l="9525" t="9525" r="13335" b="20955"/>
            <wp:wrapNone/>
            <wp:docPr id="2" name="图片 2" descr="养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养老"/>
                    <pic:cNvPicPr>
                      <a:picLocks noChangeAspect="1"/>
                    </pic:cNvPicPr>
                  </pic:nvPicPr>
                  <pic:blipFill>
                    <a:blip r:embed="rId4"/>
                    <a:stretch>
                      <a:fillRect/>
                    </a:stretch>
                  </pic:blipFill>
                  <pic:spPr>
                    <a:xfrm>
                      <a:off x="0" y="0"/>
                      <a:ext cx="5737860" cy="3444240"/>
                    </a:xfrm>
                    <a:prstGeom prst="rect">
                      <a:avLst/>
                    </a:prstGeom>
                    <a:ln>
                      <a:solidFill>
                        <a:schemeClr val="tx1"/>
                      </a:solidFill>
                    </a:ln>
                  </pic:spPr>
                </pic:pic>
              </a:graphicData>
            </a:graphic>
          </wp:anchor>
        </w:drawing>
      </w:r>
    </w:p>
    <w:p>
      <w:pPr>
        <w:keepNext w:val="0"/>
        <w:keepLines w:val="0"/>
        <w:pageBreakBefore w:val="0"/>
        <w:widowControl w:val="0"/>
        <w:numPr>
          <w:ilvl w:val="0"/>
          <w:numId w:val="0"/>
        </w:numPr>
        <w:wordWrap/>
        <w:topLinePunct w:val="0"/>
        <w:autoSpaceDE w:val="0"/>
        <w:autoSpaceDN w:val="0"/>
        <w:bidi w:val="0"/>
        <w:adjustRightInd/>
        <w:snapToGrid/>
        <w:spacing w:before="22" w:line="240" w:lineRule="auto"/>
        <w:ind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right="0" w:rightChars="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2.中等职业学校免学费补助资金</w:t>
      </w: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right="0" w:rightChars="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drawing>
          <wp:anchor distT="0" distB="0" distL="114300" distR="114300" simplePos="0" relativeHeight="251668480" behindDoc="0" locked="0" layoutInCell="1" allowOverlap="1">
            <wp:simplePos x="0" y="0"/>
            <wp:positionH relativeFrom="column">
              <wp:posOffset>-338455</wp:posOffset>
            </wp:positionH>
            <wp:positionV relativeFrom="paragraph">
              <wp:posOffset>173355</wp:posOffset>
            </wp:positionV>
            <wp:extent cx="5784215" cy="2846070"/>
            <wp:effectExtent l="9525" t="9525" r="12700" b="9525"/>
            <wp:wrapNone/>
            <wp:docPr id="6" name="图片 6" descr="中等职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中等职业"/>
                    <pic:cNvPicPr>
                      <a:picLocks noChangeAspect="1"/>
                    </pic:cNvPicPr>
                  </pic:nvPicPr>
                  <pic:blipFill>
                    <a:blip r:embed="rId5"/>
                    <a:stretch>
                      <a:fillRect/>
                    </a:stretch>
                  </pic:blipFill>
                  <pic:spPr>
                    <a:xfrm>
                      <a:off x="0" y="0"/>
                      <a:ext cx="5784215" cy="2846070"/>
                    </a:xfrm>
                    <a:prstGeom prst="rect">
                      <a:avLst/>
                    </a:prstGeom>
                    <a:ln>
                      <a:solidFill>
                        <a:schemeClr val="tx1"/>
                      </a:solidFill>
                    </a:ln>
                  </pic:spPr>
                </pic:pic>
              </a:graphicData>
            </a:graphic>
          </wp:anchor>
        </w:drawing>
      </w: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仿宋_GB2312" w:hAnsi="仿宋_GB2312" w:eastAsia="仿宋_GB2312" w:cs="仿宋_GB2312"/>
          <w:b/>
          <w:bCs w:val="0"/>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r>
        <w:rPr>
          <w:rFonts w:hint="eastAsia" w:ascii="仿宋_GB2312" w:hAnsi="仿宋_GB2312" w:eastAsia="仿宋_GB2312" w:cs="仿宋_GB2312"/>
          <w:b/>
          <w:bCs w:val="0"/>
          <w:kern w:val="0"/>
          <w:sz w:val="32"/>
          <w:szCs w:val="32"/>
          <w:lang w:val="en-US" w:eastAsia="zh-CN" w:bidi="ar-SA"/>
        </w:rPr>
        <w:t>3.义务教育公用经费</w:t>
      </w: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drawing>
          <wp:anchor distT="0" distB="0" distL="114300" distR="114300" simplePos="0" relativeHeight="251678720" behindDoc="0" locked="0" layoutInCell="1" allowOverlap="1">
            <wp:simplePos x="0" y="0"/>
            <wp:positionH relativeFrom="column">
              <wp:posOffset>-375920</wp:posOffset>
            </wp:positionH>
            <wp:positionV relativeFrom="paragraph">
              <wp:posOffset>316230</wp:posOffset>
            </wp:positionV>
            <wp:extent cx="5831840" cy="2846070"/>
            <wp:effectExtent l="9525" t="9525" r="10795" b="9525"/>
            <wp:wrapNone/>
            <wp:docPr id="11" name="图片 11" descr="公用经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用经费"/>
                    <pic:cNvPicPr>
                      <a:picLocks noChangeAspect="1"/>
                    </pic:cNvPicPr>
                  </pic:nvPicPr>
                  <pic:blipFill>
                    <a:blip r:embed="rId6"/>
                    <a:srcRect t="22560"/>
                    <a:stretch>
                      <a:fillRect/>
                    </a:stretch>
                  </pic:blipFill>
                  <pic:spPr>
                    <a:xfrm>
                      <a:off x="0" y="0"/>
                      <a:ext cx="5831840" cy="2846070"/>
                    </a:xfrm>
                    <a:prstGeom prst="rect">
                      <a:avLst/>
                    </a:prstGeom>
                    <a:ln>
                      <a:solidFill>
                        <a:schemeClr val="tx1"/>
                      </a:solidFill>
                    </a:ln>
                  </pic:spPr>
                </pic:pic>
              </a:graphicData>
            </a:graphic>
          </wp:anchor>
        </w:drawing>
      </w: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仿宋_GB2312" w:hAnsi="仿宋_GB2312" w:eastAsia="仿宋_GB2312" w:cs="仿宋_GB2312"/>
          <w:b/>
          <w:bCs w:val="0"/>
          <w:kern w:val="0"/>
          <w:sz w:val="32"/>
          <w:szCs w:val="32"/>
          <w:lang w:val="en-US" w:eastAsia="zh-CN" w:bidi="ar-SA"/>
        </w:rPr>
      </w:pPr>
      <w:r>
        <w:rPr>
          <w:rFonts w:hint="eastAsia" w:ascii="仿宋_GB2312" w:hAnsi="仿宋_GB2312" w:eastAsia="仿宋_GB2312" w:cs="仿宋_GB2312"/>
          <w:b/>
          <w:bCs w:val="0"/>
          <w:kern w:val="0"/>
          <w:sz w:val="32"/>
          <w:szCs w:val="32"/>
          <w:lang w:val="en-US" w:eastAsia="zh-CN" w:bidi="ar-SA"/>
        </w:rPr>
        <w:t>4.农村小学生营养改善计划资金</w:t>
      </w: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drawing>
          <wp:anchor distT="0" distB="0" distL="114300" distR="114300" simplePos="0" relativeHeight="251677696" behindDoc="0" locked="0" layoutInCell="1" allowOverlap="1">
            <wp:simplePos x="0" y="0"/>
            <wp:positionH relativeFrom="column">
              <wp:posOffset>-339090</wp:posOffset>
            </wp:positionH>
            <wp:positionV relativeFrom="paragraph">
              <wp:posOffset>360045</wp:posOffset>
            </wp:positionV>
            <wp:extent cx="5945505" cy="3231515"/>
            <wp:effectExtent l="9525" t="9525" r="19050" b="20320"/>
            <wp:wrapNone/>
            <wp:docPr id="10" name="图片 10" descr="营养改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营养改善"/>
                    <pic:cNvPicPr>
                      <a:picLocks noChangeAspect="1"/>
                    </pic:cNvPicPr>
                  </pic:nvPicPr>
                  <pic:blipFill>
                    <a:blip r:embed="rId7"/>
                    <a:srcRect t="22215"/>
                    <a:stretch>
                      <a:fillRect/>
                    </a:stretch>
                  </pic:blipFill>
                  <pic:spPr>
                    <a:xfrm>
                      <a:off x="0" y="0"/>
                      <a:ext cx="5945505" cy="3231515"/>
                    </a:xfrm>
                    <a:prstGeom prst="rect">
                      <a:avLst/>
                    </a:prstGeom>
                    <a:ln>
                      <a:solidFill>
                        <a:schemeClr val="tx1"/>
                      </a:solidFill>
                    </a:ln>
                  </pic:spPr>
                </pic:pic>
              </a:graphicData>
            </a:graphic>
          </wp:anchor>
        </w:drawing>
      </w: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仿宋_GB2312" w:hAnsi="仿宋_GB2312" w:eastAsia="仿宋_GB2312" w:cs="仿宋_GB2312"/>
          <w:b/>
          <w:bCs w:val="0"/>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仿宋_GB2312" w:hAnsi="仿宋_GB2312" w:eastAsia="仿宋_GB2312" w:cs="仿宋_GB2312"/>
          <w:b/>
          <w:bCs w:val="0"/>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仿宋_GB2312" w:hAnsi="仿宋_GB2312" w:eastAsia="仿宋_GB2312" w:cs="仿宋_GB2312"/>
          <w:b/>
          <w:bCs w:val="0"/>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仿宋_GB2312" w:hAnsi="仿宋_GB2312" w:eastAsia="仿宋_GB2312" w:cs="仿宋_GB2312"/>
          <w:b/>
          <w:bCs w:val="0"/>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仿宋_GB2312" w:hAnsi="仿宋_GB2312" w:eastAsia="仿宋_GB2312" w:cs="仿宋_GB2312"/>
          <w:b/>
          <w:bCs w:val="0"/>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仿宋_GB2312" w:hAnsi="仿宋_GB2312" w:eastAsia="仿宋_GB2312" w:cs="仿宋_GB2312"/>
          <w:b/>
          <w:bCs w:val="0"/>
          <w:kern w:val="0"/>
          <w:sz w:val="32"/>
          <w:szCs w:val="32"/>
          <w:lang w:val="en-US" w:eastAsia="zh-CN" w:bidi="ar-SA"/>
        </w:rPr>
      </w:pPr>
      <w:r>
        <w:rPr>
          <w:rFonts w:hint="eastAsia" w:ascii="仿宋_GB2312" w:hAnsi="仿宋_GB2312" w:eastAsia="仿宋_GB2312" w:cs="仿宋_GB2312"/>
          <w:b/>
          <w:bCs w:val="0"/>
          <w:kern w:val="0"/>
          <w:sz w:val="32"/>
          <w:szCs w:val="32"/>
          <w:lang w:val="en-US" w:eastAsia="zh-CN" w:bidi="ar-SA"/>
        </w:rPr>
        <w:t>5.贫困人口医疗救助</w:t>
      </w: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drawing>
          <wp:anchor distT="0" distB="0" distL="114300" distR="114300" simplePos="0" relativeHeight="251672576" behindDoc="0" locked="0" layoutInCell="1" allowOverlap="1">
            <wp:simplePos x="0" y="0"/>
            <wp:positionH relativeFrom="column">
              <wp:posOffset>-408940</wp:posOffset>
            </wp:positionH>
            <wp:positionV relativeFrom="paragraph">
              <wp:posOffset>304165</wp:posOffset>
            </wp:positionV>
            <wp:extent cx="5915660" cy="2965450"/>
            <wp:effectExtent l="9525" t="9525" r="18415" b="12065"/>
            <wp:wrapNone/>
            <wp:docPr id="4" name="图片 4" descr="医疗救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医疗救助"/>
                    <pic:cNvPicPr>
                      <a:picLocks noChangeAspect="1"/>
                    </pic:cNvPicPr>
                  </pic:nvPicPr>
                  <pic:blipFill>
                    <a:blip r:embed="rId8"/>
                    <a:srcRect t="22322"/>
                    <a:stretch>
                      <a:fillRect/>
                    </a:stretch>
                  </pic:blipFill>
                  <pic:spPr>
                    <a:xfrm>
                      <a:off x="0" y="0"/>
                      <a:ext cx="5915660" cy="2965450"/>
                    </a:xfrm>
                    <a:prstGeom prst="rect">
                      <a:avLst/>
                    </a:prstGeom>
                    <a:ln>
                      <a:solidFill>
                        <a:schemeClr val="tx1"/>
                      </a:solidFill>
                    </a:ln>
                  </pic:spPr>
                </pic:pic>
              </a:graphicData>
            </a:graphic>
          </wp:anchor>
        </w:drawing>
      </w: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3"/>
        </w:numPr>
        <w:spacing w:before="0" w:beforeAutospacing="0" w:after="0" w:afterAutospacing="0" w:line="600" w:lineRule="exact"/>
        <w:ind w:left="0" w:leftChars="0" w:firstLine="0" w:firstLineChars="0"/>
        <w:jc w:val="both"/>
        <w:rPr>
          <w:rFonts w:hint="eastAsia" w:ascii="仿宋_GB2312" w:hAnsi="仿宋_GB2312" w:eastAsia="仿宋_GB2312" w:cs="仿宋_GB2312"/>
          <w:b/>
          <w:bCs w:val="0"/>
          <w:kern w:val="0"/>
          <w:sz w:val="32"/>
          <w:szCs w:val="32"/>
          <w:lang w:val="en-US" w:eastAsia="zh-CN" w:bidi="ar-SA"/>
        </w:rPr>
      </w:pPr>
      <w:r>
        <w:rPr>
          <w:rFonts w:hint="eastAsia" w:ascii="仿宋_GB2312" w:hAnsi="仿宋_GB2312" w:eastAsia="仿宋_GB2312" w:cs="仿宋_GB2312"/>
          <w:b/>
          <w:bCs w:val="0"/>
          <w:kern w:val="0"/>
          <w:sz w:val="32"/>
          <w:szCs w:val="32"/>
          <w:lang w:val="en-US" w:eastAsia="zh-CN" w:bidi="ar-SA"/>
        </w:rPr>
        <w:t>长期护理险县级财政补助</w:t>
      </w:r>
    </w:p>
    <w:p>
      <w:pPr>
        <w:pStyle w:val="7"/>
        <w:numPr>
          <w:ilvl w:val="0"/>
          <w:numId w:val="0"/>
        </w:numPr>
        <w:spacing w:before="0" w:beforeAutospacing="0" w:after="0" w:afterAutospacing="0" w:line="600" w:lineRule="exact"/>
        <w:ind w:leftChars="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drawing>
          <wp:anchor distT="0" distB="0" distL="114300" distR="114300" simplePos="0" relativeHeight="251673600" behindDoc="0" locked="0" layoutInCell="1" allowOverlap="1">
            <wp:simplePos x="0" y="0"/>
            <wp:positionH relativeFrom="column">
              <wp:posOffset>-387985</wp:posOffset>
            </wp:positionH>
            <wp:positionV relativeFrom="paragraph">
              <wp:posOffset>19050</wp:posOffset>
            </wp:positionV>
            <wp:extent cx="5939155" cy="2252345"/>
            <wp:effectExtent l="9525" t="9525" r="10160" b="24130"/>
            <wp:wrapNone/>
            <wp:docPr id="5" name="图片 5" descr="护理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护理险"/>
                    <pic:cNvPicPr>
                      <a:picLocks noChangeAspect="1"/>
                    </pic:cNvPicPr>
                  </pic:nvPicPr>
                  <pic:blipFill>
                    <a:blip r:embed="rId9"/>
                    <a:srcRect t="22791"/>
                    <a:stretch>
                      <a:fillRect/>
                    </a:stretch>
                  </pic:blipFill>
                  <pic:spPr>
                    <a:xfrm>
                      <a:off x="0" y="0"/>
                      <a:ext cx="5939155" cy="2252345"/>
                    </a:xfrm>
                    <a:prstGeom prst="rect">
                      <a:avLst/>
                    </a:prstGeom>
                    <a:ln>
                      <a:solidFill>
                        <a:schemeClr val="tx1"/>
                      </a:solidFill>
                    </a:ln>
                  </pic:spPr>
                </pic:pic>
              </a:graphicData>
            </a:graphic>
          </wp:anchor>
        </w:drawing>
      </w: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numId w:val="0"/>
        </w:numPr>
        <w:spacing w:before="0" w:beforeAutospacing="0" w:after="0" w:afterAutospacing="0" w:line="600" w:lineRule="exact"/>
        <w:ind w:leftChars="0"/>
        <w:jc w:val="both"/>
        <w:rPr>
          <w:rFonts w:hint="eastAsia" w:ascii="仿宋_GB2312" w:hAnsi="仿宋_GB2312" w:eastAsia="仿宋_GB2312" w:cs="仿宋_GB2312"/>
          <w:b/>
          <w:bCs w:val="0"/>
          <w:kern w:val="0"/>
          <w:sz w:val="32"/>
          <w:szCs w:val="32"/>
          <w:lang w:val="en-US" w:eastAsia="zh-CN" w:bidi="ar-SA"/>
        </w:rPr>
      </w:pPr>
    </w:p>
    <w:p>
      <w:pPr>
        <w:pStyle w:val="7"/>
        <w:numPr>
          <w:numId w:val="0"/>
        </w:numPr>
        <w:spacing w:before="0" w:beforeAutospacing="0" w:after="0" w:afterAutospacing="0" w:line="600" w:lineRule="exact"/>
        <w:ind w:leftChars="0"/>
        <w:jc w:val="both"/>
        <w:rPr>
          <w:rFonts w:hint="eastAsia" w:ascii="仿宋_GB2312" w:hAnsi="仿宋_GB2312" w:eastAsia="仿宋_GB2312" w:cs="仿宋_GB2312"/>
          <w:b/>
          <w:bCs w:val="0"/>
          <w:kern w:val="0"/>
          <w:sz w:val="32"/>
          <w:szCs w:val="32"/>
          <w:lang w:val="en-US" w:eastAsia="zh-CN" w:bidi="ar-SA"/>
        </w:rPr>
      </w:pPr>
    </w:p>
    <w:p>
      <w:pPr>
        <w:pStyle w:val="7"/>
        <w:numPr>
          <w:numId w:val="0"/>
        </w:numPr>
        <w:spacing w:before="0" w:beforeAutospacing="0" w:after="0" w:afterAutospacing="0" w:line="600" w:lineRule="exact"/>
        <w:ind w:leftChars="0"/>
        <w:jc w:val="both"/>
        <w:rPr>
          <w:rFonts w:hint="eastAsia" w:ascii="仿宋_GB2312" w:hAnsi="仿宋_GB2312" w:eastAsia="仿宋_GB2312" w:cs="仿宋_GB2312"/>
          <w:b/>
          <w:bCs w:val="0"/>
          <w:kern w:val="0"/>
          <w:sz w:val="32"/>
          <w:szCs w:val="32"/>
          <w:lang w:val="en-US" w:eastAsia="zh-CN" w:bidi="ar-SA"/>
        </w:rPr>
      </w:pPr>
    </w:p>
    <w:p>
      <w:pPr>
        <w:pStyle w:val="7"/>
        <w:numPr>
          <w:numId w:val="0"/>
        </w:numPr>
        <w:spacing w:before="0" w:beforeAutospacing="0" w:after="0" w:afterAutospacing="0" w:line="600" w:lineRule="exact"/>
        <w:ind w:leftChars="0"/>
        <w:jc w:val="both"/>
        <w:rPr>
          <w:rFonts w:hint="eastAsia" w:ascii="仿宋_GB2312" w:hAnsi="仿宋_GB2312" w:eastAsia="仿宋_GB2312" w:cs="仿宋_GB2312"/>
          <w:b/>
          <w:bCs w:val="0"/>
          <w:kern w:val="0"/>
          <w:sz w:val="32"/>
          <w:szCs w:val="32"/>
          <w:lang w:val="en-US" w:eastAsia="zh-CN" w:bidi="ar-SA"/>
        </w:rPr>
      </w:pPr>
      <w:bookmarkStart w:id="0" w:name="_GoBack"/>
      <w:bookmarkEnd w:id="0"/>
    </w:p>
    <w:p>
      <w:pPr>
        <w:pStyle w:val="7"/>
        <w:numPr>
          <w:ilvl w:val="0"/>
          <w:numId w:val="3"/>
        </w:numPr>
        <w:spacing w:before="0" w:beforeAutospacing="0" w:after="0" w:afterAutospacing="0" w:line="600" w:lineRule="exact"/>
        <w:ind w:left="0" w:leftChars="0" w:firstLine="0" w:firstLineChars="0"/>
        <w:jc w:val="both"/>
        <w:rPr>
          <w:rFonts w:hint="eastAsia" w:ascii="仿宋_GB2312" w:hAnsi="仿宋_GB2312" w:eastAsia="仿宋_GB2312" w:cs="仿宋_GB2312"/>
          <w:b/>
          <w:bCs w:val="0"/>
          <w:kern w:val="0"/>
          <w:sz w:val="32"/>
          <w:szCs w:val="32"/>
          <w:lang w:val="en-US" w:eastAsia="zh-CN" w:bidi="ar-SA"/>
        </w:rPr>
      </w:pPr>
      <w:r>
        <w:rPr>
          <w:rFonts w:hint="eastAsia" w:ascii="仿宋_GB2312" w:hAnsi="仿宋_GB2312" w:eastAsia="仿宋_GB2312" w:cs="仿宋_GB2312"/>
          <w:b/>
          <w:bCs w:val="0"/>
          <w:kern w:val="0"/>
          <w:sz w:val="32"/>
          <w:szCs w:val="32"/>
          <w:lang w:val="en-US" w:eastAsia="zh-CN" w:bidi="ar-SA"/>
        </w:rPr>
        <w:t>工农业科技三项支出</w:t>
      </w:r>
    </w:p>
    <w:p>
      <w:pPr>
        <w:pStyle w:val="7"/>
        <w:numPr>
          <w:ilvl w:val="0"/>
          <w:numId w:val="0"/>
        </w:numPr>
        <w:spacing w:before="0" w:beforeAutospacing="0" w:after="0" w:afterAutospacing="0" w:line="600" w:lineRule="exact"/>
        <w:ind w:leftChars="0"/>
        <w:jc w:val="both"/>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drawing>
          <wp:anchor distT="0" distB="0" distL="114300" distR="114300" simplePos="0" relativeHeight="251674624" behindDoc="0" locked="0" layoutInCell="1" allowOverlap="1">
            <wp:simplePos x="0" y="0"/>
            <wp:positionH relativeFrom="column">
              <wp:posOffset>-318135</wp:posOffset>
            </wp:positionH>
            <wp:positionV relativeFrom="paragraph">
              <wp:posOffset>125730</wp:posOffset>
            </wp:positionV>
            <wp:extent cx="5986780" cy="2359660"/>
            <wp:effectExtent l="9525" t="9525" r="23495" b="23495"/>
            <wp:wrapNone/>
            <wp:docPr id="7" name="图片 7" descr="科技三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科技三项"/>
                    <pic:cNvPicPr>
                      <a:picLocks noChangeAspect="1"/>
                    </pic:cNvPicPr>
                  </pic:nvPicPr>
                  <pic:blipFill>
                    <a:blip r:embed="rId10"/>
                    <a:srcRect t="22178"/>
                    <a:stretch>
                      <a:fillRect/>
                    </a:stretch>
                  </pic:blipFill>
                  <pic:spPr>
                    <a:xfrm>
                      <a:off x="0" y="0"/>
                      <a:ext cx="5986780" cy="2359660"/>
                    </a:xfrm>
                    <a:prstGeom prst="rect">
                      <a:avLst/>
                    </a:prstGeom>
                    <a:ln>
                      <a:solidFill>
                        <a:schemeClr val="tx1"/>
                      </a:solidFill>
                    </a:ln>
                  </pic:spPr>
                </pic:pic>
              </a:graphicData>
            </a:graphic>
          </wp:anchor>
        </w:drawing>
      </w: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3"/>
        </w:numPr>
        <w:spacing w:before="0" w:beforeAutospacing="0" w:after="0" w:afterAutospacing="0" w:line="600" w:lineRule="exact"/>
        <w:ind w:left="0" w:leftChars="0" w:firstLine="0" w:firstLineChars="0"/>
        <w:jc w:val="both"/>
        <w:rPr>
          <w:rFonts w:hint="eastAsia" w:ascii="仿宋_GB2312" w:hAnsi="仿宋_GB2312" w:eastAsia="仿宋_GB2312" w:cs="仿宋_GB2312"/>
          <w:b/>
          <w:bCs w:val="0"/>
          <w:kern w:val="0"/>
          <w:sz w:val="32"/>
          <w:szCs w:val="32"/>
          <w:lang w:val="en-US" w:eastAsia="zh-CN" w:bidi="ar-SA"/>
        </w:rPr>
      </w:pPr>
      <w:r>
        <w:rPr>
          <w:rFonts w:hint="eastAsia" w:ascii="仿宋_GB2312" w:hAnsi="仿宋_GB2312" w:eastAsia="仿宋_GB2312" w:cs="仿宋_GB2312"/>
          <w:b/>
          <w:bCs w:val="0"/>
          <w:kern w:val="0"/>
          <w:sz w:val="32"/>
          <w:szCs w:val="32"/>
          <w:lang w:val="en-US" w:eastAsia="zh-CN" w:bidi="ar-SA"/>
        </w:rPr>
        <w:t>财政衔接推进乡村振兴县级配套资金</w:t>
      </w:r>
    </w:p>
    <w:p>
      <w:pPr>
        <w:pStyle w:val="7"/>
        <w:numPr>
          <w:ilvl w:val="0"/>
          <w:numId w:val="0"/>
        </w:numPr>
        <w:spacing w:before="0" w:beforeAutospacing="0" w:after="0" w:afterAutospacing="0" w:line="600" w:lineRule="exact"/>
        <w:ind w:leftChars="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drawing>
          <wp:anchor distT="0" distB="0" distL="114300" distR="114300" simplePos="0" relativeHeight="251675648" behindDoc="0" locked="0" layoutInCell="1" allowOverlap="1">
            <wp:simplePos x="0" y="0"/>
            <wp:positionH relativeFrom="column">
              <wp:posOffset>-512445</wp:posOffset>
            </wp:positionH>
            <wp:positionV relativeFrom="paragraph">
              <wp:posOffset>73660</wp:posOffset>
            </wp:positionV>
            <wp:extent cx="6007100" cy="2644140"/>
            <wp:effectExtent l="9525" t="9525" r="18415" b="13335"/>
            <wp:wrapNone/>
            <wp:docPr id="8" name="图片 8" descr="衔接资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衔接资金"/>
                    <pic:cNvPicPr>
                      <a:picLocks noChangeAspect="1"/>
                    </pic:cNvPicPr>
                  </pic:nvPicPr>
                  <pic:blipFill>
                    <a:blip r:embed="rId11"/>
                    <a:srcRect t="22530"/>
                    <a:stretch>
                      <a:fillRect/>
                    </a:stretch>
                  </pic:blipFill>
                  <pic:spPr>
                    <a:xfrm>
                      <a:off x="0" y="0"/>
                      <a:ext cx="6007100" cy="2644140"/>
                    </a:xfrm>
                    <a:prstGeom prst="rect">
                      <a:avLst/>
                    </a:prstGeom>
                    <a:ln>
                      <a:solidFill>
                        <a:schemeClr val="tx1"/>
                      </a:solidFill>
                    </a:ln>
                  </pic:spPr>
                </pic:pic>
              </a:graphicData>
            </a:graphic>
          </wp:anchor>
        </w:drawing>
      </w: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仿宋_GB2312" w:hAnsi="仿宋_GB2312" w:eastAsia="仿宋_GB2312" w:cs="仿宋_GB2312"/>
          <w:b/>
          <w:bCs w:val="0"/>
          <w:kern w:val="0"/>
          <w:sz w:val="32"/>
          <w:szCs w:val="32"/>
          <w:lang w:val="en-US" w:eastAsia="zh-CN" w:bidi="ar-SA"/>
        </w:rPr>
      </w:pPr>
      <w:r>
        <w:rPr>
          <w:rFonts w:hint="eastAsia" w:ascii="仿宋_GB2312" w:hAnsi="仿宋_GB2312" w:eastAsia="仿宋_GB2312" w:cs="仿宋_GB2312"/>
          <w:b/>
          <w:bCs w:val="0"/>
          <w:kern w:val="0"/>
          <w:sz w:val="32"/>
          <w:szCs w:val="32"/>
          <w:lang w:val="en-US" w:eastAsia="zh-CN" w:bidi="ar-SA"/>
        </w:rPr>
        <w:t>9.图书馆、文化馆站免费开放</w:t>
      </w: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drawing>
          <wp:anchor distT="0" distB="0" distL="114300" distR="114300" simplePos="0" relativeHeight="251676672" behindDoc="0" locked="0" layoutInCell="1" allowOverlap="1">
            <wp:simplePos x="0" y="0"/>
            <wp:positionH relativeFrom="column">
              <wp:posOffset>-179070</wp:posOffset>
            </wp:positionH>
            <wp:positionV relativeFrom="paragraph">
              <wp:posOffset>255905</wp:posOffset>
            </wp:positionV>
            <wp:extent cx="5904865" cy="2555240"/>
            <wp:effectExtent l="9525" t="9525" r="13970" b="10795"/>
            <wp:wrapNone/>
            <wp:docPr id="9" name="图片 9" descr="免费开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免费开放"/>
                    <pic:cNvPicPr>
                      <a:picLocks noChangeAspect="1"/>
                    </pic:cNvPicPr>
                  </pic:nvPicPr>
                  <pic:blipFill>
                    <a:blip r:embed="rId12"/>
                    <a:srcRect t="22000"/>
                    <a:stretch>
                      <a:fillRect/>
                    </a:stretch>
                  </pic:blipFill>
                  <pic:spPr>
                    <a:xfrm>
                      <a:off x="0" y="0"/>
                      <a:ext cx="5904865" cy="2555240"/>
                    </a:xfrm>
                    <a:prstGeom prst="rect">
                      <a:avLst/>
                    </a:prstGeom>
                    <a:ln>
                      <a:solidFill>
                        <a:schemeClr val="tx1"/>
                      </a:solidFill>
                    </a:ln>
                  </pic:spPr>
                </pic:pic>
              </a:graphicData>
            </a:graphic>
          </wp:anchor>
        </w:drawing>
      </w: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zh-CN" w:eastAsia="zh-CN" w:bidi="ar-SA"/>
        </w:rPr>
      </w:pPr>
      <w:r>
        <w:rPr>
          <w:rFonts w:hint="eastAsia" w:ascii="黑体" w:hAnsi="黑体" w:eastAsia="黑体" w:cs="黑体"/>
          <w:b w:val="0"/>
          <w:bCs/>
          <w:kern w:val="0"/>
          <w:sz w:val="32"/>
          <w:szCs w:val="32"/>
          <w:lang w:val="en-US" w:eastAsia="zh-CN" w:bidi="ar-SA"/>
        </w:rPr>
        <w:t>七、</w:t>
      </w:r>
      <w:r>
        <w:rPr>
          <w:rFonts w:hint="eastAsia" w:ascii="黑体" w:hAnsi="黑体" w:eastAsia="黑体" w:cs="黑体"/>
          <w:b w:val="0"/>
          <w:bCs/>
          <w:kern w:val="0"/>
          <w:sz w:val="32"/>
          <w:szCs w:val="32"/>
          <w:lang w:val="zh-CN" w:eastAsia="zh-CN" w:bidi="ar-SA"/>
        </w:rPr>
        <w:t>其他重要事项的解释说明</w:t>
      </w:r>
    </w:p>
    <w:p>
      <w:pPr>
        <w:pStyle w:val="7"/>
        <w:numPr>
          <w:ilvl w:val="0"/>
          <w:numId w:val="0"/>
        </w:numPr>
        <w:spacing w:before="0" w:beforeAutospacing="0" w:after="0" w:afterAutospacing="0" w:line="600" w:lineRule="exact"/>
        <w:ind w:firstLine="640" w:firstLineChars="200"/>
        <w:jc w:val="both"/>
        <w:rPr>
          <w:rFonts w:hint="eastAsia" w:ascii="宋体" w:hAnsi="宋体" w:eastAsia="宋体" w:cs="宋体"/>
          <w:sz w:val="32"/>
          <w:szCs w:val="32"/>
          <w:lang w:eastAsia="zh-CN"/>
        </w:rPr>
      </w:pPr>
      <w:r>
        <w:rPr>
          <w:rFonts w:hint="eastAsia" w:ascii="宋体" w:hAnsi="宋体" w:cs="宋体"/>
          <w:sz w:val="32"/>
          <w:szCs w:val="32"/>
        </w:rPr>
        <w:t>无其他重要事项解释说明</w:t>
      </w:r>
      <w:r>
        <w:rPr>
          <w:rFonts w:hint="eastAsia" w:cs="宋体"/>
          <w:sz w:val="32"/>
          <w:szCs w:val="32"/>
          <w:lang w:eastAsia="zh-CN"/>
        </w:rPr>
        <w:t>。</w:t>
      </w: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val="0"/>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AE514"/>
    <w:multiLevelType w:val="singleLevel"/>
    <w:tmpl w:val="187AE514"/>
    <w:lvl w:ilvl="0" w:tentative="0">
      <w:start w:val="1"/>
      <w:numFmt w:val="chineseCounting"/>
      <w:suff w:val="nothing"/>
      <w:lvlText w:val="%1、"/>
      <w:lvlJc w:val="left"/>
      <w:rPr>
        <w:rFonts w:hint="eastAsia"/>
      </w:rPr>
    </w:lvl>
  </w:abstractNum>
  <w:abstractNum w:abstractNumId="1">
    <w:nsid w:val="587F8EF1"/>
    <w:multiLevelType w:val="singleLevel"/>
    <w:tmpl w:val="587F8EF1"/>
    <w:lvl w:ilvl="0" w:tentative="0">
      <w:start w:val="6"/>
      <w:numFmt w:val="decimal"/>
      <w:lvlText w:val="%1."/>
      <w:lvlJc w:val="left"/>
      <w:pPr>
        <w:tabs>
          <w:tab w:val="left" w:pos="312"/>
        </w:tabs>
      </w:pPr>
    </w:lvl>
  </w:abstractNum>
  <w:abstractNum w:abstractNumId="2">
    <w:nsid w:val="7E395529"/>
    <w:multiLevelType w:val="singleLevel"/>
    <w:tmpl w:val="7E395529"/>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E53B1"/>
    <w:rsid w:val="000A5D1E"/>
    <w:rsid w:val="015E668A"/>
    <w:rsid w:val="02154B24"/>
    <w:rsid w:val="02A17563"/>
    <w:rsid w:val="06F1095C"/>
    <w:rsid w:val="07AA46AD"/>
    <w:rsid w:val="08145E55"/>
    <w:rsid w:val="0985721F"/>
    <w:rsid w:val="09F80433"/>
    <w:rsid w:val="0BDF0D4E"/>
    <w:rsid w:val="0C545800"/>
    <w:rsid w:val="0E5941C7"/>
    <w:rsid w:val="10644449"/>
    <w:rsid w:val="10EA0779"/>
    <w:rsid w:val="126B3CB9"/>
    <w:rsid w:val="1287433C"/>
    <w:rsid w:val="128C7222"/>
    <w:rsid w:val="158C2DBD"/>
    <w:rsid w:val="165178BB"/>
    <w:rsid w:val="183B6F53"/>
    <w:rsid w:val="1A2924B2"/>
    <w:rsid w:val="1A76310B"/>
    <w:rsid w:val="1D7F5E97"/>
    <w:rsid w:val="1E53410D"/>
    <w:rsid w:val="1E9A56B0"/>
    <w:rsid w:val="1EDB60CB"/>
    <w:rsid w:val="1FAA12B0"/>
    <w:rsid w:val="206745E6"/>
    <w:rsid w:val="20A17D8B"/>
    <w:rsid w:val="20CC5493"/>
    <w:rsid w:val="225C509D"/>
    <w:rsid w:val="26BE5EFA"/>
    <w:rsid w:val="2770440A"/>
    <w:rsid w:val="27DA2CFD"/>
    <w:rsid w:val="28D73697"/>
    <w:rsid w:val="29392543"/>
    <w:rsid w:val="29DC1A22"/>
    <w:rsid w:val="29E43104"/>
    <w:rsid w:val="2A2D0DBF"/>
    <w:rsid w:val="2ABE16F4"/>
    <w:rsid w:val="2F052072"/>
    <w:rsid w:val="301F25E2"/>
    <w:rsid w:val="304D171E"/>
    <w:rsid w:val="30D5033B"/>
    <w:rsid w:val="316C7B1B"/>
    <w:rsid w:val="3509107F"/>
    <w:rsid w:val="36194912"/>
    <w:rsid w:val="36F31373"/>
    <w:rsid w:val="38E5715E"/>
    <w:rsid w:val="390065A6"/>
    <w:rsid w:val="391278EF"/>
    <w:rsid w:val="39475EEF"/>
    <w:rsid w:val="3A173555"/>
    <w:rsid w:val="3B713BE4"/>
    <w:rsid w:val="3E11341C"/>
    <w:rsid w:val="3EB92D13"/>
    <w:rsid w:val="41B2066C"/>
    <w:rsid w:val="424F4336"/>
    <w:rsid w:val="428B3A4A"/>
    <w:rsid w:val="436B6D05"/>
    <w:rsid w:val="44910C58"/>
    <w:rsid w:val="45CF5557"/>
    <w:rsid w:val="467A41DD"/>
    <w:rsid w:val="46E2490D"/>
    <w:rsid w:val="47BA11AD"/>
    <w:rsid w:val="480510AB"/>
    <w:rsid w:val="4A73771E"/>
    <w:rsid w:val="4C562BDE"/>
    <w:rsid w:val="4E5051D8"/>
    <w:rsid w:val="4F516D82"/>
    <w:rsid w:val="504B60E8"/>
    <w:rsid w:val="51CF00B9"/>
    <w:rsid w:val="51E02241"/>
    <w:rsid w:val="53315D81"/>
    <w:rsid w:val="566538F5"/>
    <w:rsid w:val="56CD3A74"/>
    <w:rsid w:val="56F94A8C"/>
    <w:rsid w:val="574B79F1"/>
    <w:rsid w:val="57814384"/>
    <w:rsid w:val="586011BE"/>
    <w:rsid w:val="590660C8"/>
    <w:rsid w:val="59093A00"/>
    <w:rsid w:val="5B8466AF"/>
    <w:rsid w:val="5D38293C"/>
    <w:rsid w:val="6012186B"/>
    <w:rsid w:val="61186F9E"/>
    <w:rsid w:val="62127DFD"/>
    <w:rsid w:val="6582363B"/>
    <w:rsid w:val="6935444A"/>
    <w:rsid w:val="6AC03BBE"/>
    <w:rsid w:val="6AC54092"/>
    <w:rsid w:val="6B913A12"/>
    <w:rsid w:val="6D584C1D"/>
    <w:rsid w:val="6DAD2626"/>
    <w:rsid w:val="6E010A88"/>
    <w:rsid w:val="6E1B411B"/>
    <w:rsid w:val="702A7EED"/>
    <w:rsid w:val="70F64312"/>
    <w:rsid w:val="71245223"/>
    <w:rsid w:val="747B4DCE"/>
    <w:rsid w:val="77EF6938"/>
    <w:rsid w:val="788E53B1"/>
    <w:rsid w:val="7A89782B"/>
    <w:rsid w:val="7AA72ED8"/>
    <w:rsid w:val="7AA83514"/>
    <w:rsid w:val="7F856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paragraph" w:customStyle="1" w:styleId="7">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206</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2024-02-02T06:54:00Z</dcterms:created>
  <dc:creator>Lenovo</dc:creator>
  <cp:lastModifiedBy>Lenovo</cp:lastModifiedBy>
  <cp:lastPrinted>2024-02-02T08:13:00Z</cp:lastPrinted>
  <dcterms:modified xsi:type="dcterms:W3CDTF">2025-03-03T02:34:43Z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