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400" w:lineRule="auto"/>
        <w:ind w:left="0" w:right="0" w:firstLine="0"/>
        <w:jc w:val="left"/>
        <w:rPr>
          <w:rFonts w:ascii="仿宋" w:hAnsi="仿宋" w:eastAsia="仿宋" w:cs="仿宋"/>
          <w:color w:val="auto"/>
          <w:spacing w:val="0"/>
          <w:position w:val="0"/>
          <w:sz w:val="32"/>
          <w:shd w:val="clear" w:fill="FFFFFF"/>
        </w:rPr>
      </w:pPr>
      <w:bookmarkStart w:id="0" w:name="_GoBack"/>
      <w:bookmarkEnd w:id="0"/>
    </w:p>
    <w:p>
      <w:pPr>
        <w:widowControl w:val="0"/>
        <w:spacing w:before="0" w:after="0" w:line="480" w:lineRule="auto"/>
        <w:ind w:left="0" w:right="0" w:firstLine="0"/>
        <w:jc w:val="left"/>
        <w:rPr>
          <w:rFonts w:ascii="宋体" w:hAnsi="宋体" w:eastAsia="宋体" w:cs="宋体"/>
          <w:b/>
          <w:color w:val="000000"/>
          <w:spacing w:val="0"/>
          <w:position w:val="0"/>
          <w:sz w:val="44"/>
          <w:shd w:val="clear" w:fill="FFFFFF"/>
        </w:rPr>
      </w:pPr>
      <w:r>
        <w:rPr>
          <w:rFonts w:ascii="仿宋" w:hAnsi="仿宋" w:eastAsia="仿宋" w:cs="仿宋"/>
          <w:color w:val="auto"/>
          <w:spacing w:val="0"/>
          <w:position w:val="0"/>
          <w:sz w:val="32"/>
          <w:shd w:val="clear" w:fill="FFFFFF"/>
        </w:rPr>
        <w:t>附件1：</w:t>
      </w:r>
    </w:p>
    <w:p>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6"/>
        <w:tblW w:w="8522" w:type="dxa"/>
        <w:tblInd w:w="0" w:type="dxa"/>
        <w:tblLayout w:type="fixed"/>
        <w:tblCellMar>
          <w:top w:w="0" w:type="dxa"/>
          <w:left w:w="10" w:type="dxa"/>
          <w:bottom w:w="0" w:type="dxa"/>
          <w:right w:w="10" w:type="dxa"/>
        </w:tblCellMar>
      </w:tblPr>
      <w:tblGrid>
        <w:gridCol w:w="846"/>
        <w:gridCol w:w="846"/>
        <w:gridCol w:w="1163"/>
        <w:gridCol w:w="2898"/>
        <w:gridCol w:w="2085"/>
        <w:gridCol w:w="684"/>
      </w:tblGrid>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06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1</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0</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变动率（2分）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预算数与上年度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预算数的变动比率，用以反映和考核部门对控制重点行政成本的努力程度。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变动率=[（本年度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总额]×100%。</w:t>
            </w:r>
            <w:r>
              <w:rPr>
                <w:rFonts w:ascii="仿宋" w:hAnsi="仿宋" w:eastAsia="仿宋" w:cs="仿宋"/>
                <w:color w:val="000000"/>
                <w:spacing w:val="0"/>
                <w:position w:val="0"/>
                <w:sz w:val="21"/>
                <w:shd w:val="clear" w:fill="auto"/>
              </w:rPr>
              <w:br w:type="textWrapping"/>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：年度预算安排的因公出国（境）费、公务车辆购置及运行费和公务招待费。</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10%</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-5%-10%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重点支出安排率（2分）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项目总支出：部门（单位）年度预算安排的项目支出总额。</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95%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85%</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在</w:t>
            </w:r>
            <w:r>
              <w:rPr>
                <w:rFonts w:ascii="仿宋_GB2312" w:hAnsi="仿宋_GB2312" w:eastAsia="仿宋_GB2312" w:cs="仿宋_GB2312"/>
                <w:color w:val="auto"/>
                <w:spacing w:val="0"/>
                <w:position w:val="0"/>
                <w:sz w:val="21"/>
                <w:shd w:val="clear" w:fill="auto"/>
              </w:rPr>
              <w:t>85%-95%</w:t>
            </w:r>
            <w:r>
              <w:rPr>
                <w:rFonts w:ascii="仿宋" w:hAnsi="仿宋" w:eastAsia="仿宋" w:cs="仿宋"/>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w:t>
            </w:r>
            <w:r>
              <w:rPr>
                <w:rFonts w:ascii="仿宋" w:hAnsi="仿宋" w:eastAsia="仿宋" w:cs="仿宋"/>
                <w:color w:val="000000"/>
                <w:spacing w:val="0"/>
                <w:position w:val="0"/>
                <w:sz w:val="21"/>
                <w:shd w:val="clear" w:fill="auto"/>
              </w:rPr>
              <w:t>重点支出安排率</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pPr>
              <w:widowControl w:val="0"/>
              <w:spacing w:before="0" w:after="0" w:line="240" w:lineRule="auto"/>
              <w:ind w:left="0" w:right="0" w:firstLine="0"/>
              <w:jc w:val="left"/>
              <w:rPr>
                <w:color w:val="auto"/>
                <w:spacing w:val="0"/>
                <w:position w:val="0"/>
                <w:shd w:val="clear" w:fill="auto"/>
              </w:rPr>
            </w:pP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8</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资产账务管理是否合规，帐实相符；</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根据年度主要任务分解表的的具体任务，逐项评价任务量化指标完成情况、实施效果和责任制建立情况。用以反映和考核部门（单位）履职工作任务目标的完成情况。评价要点：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1.每项任务是否已制定了明确、具体、可量化、可衡量的绩效指标；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2.每项任务绩效指标的完成情况，是全部完成、基本完成、未完成，还是未实施；</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3.每项任务实施效果情况，是优秀、良好、一般，还是无效果；</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4.每项任务是否建立了目标责任制，是否落实到具体部门和人员负责。</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根据不同部门履职的内容和特点，具体测算部门履职工作任务目标的完成情况。</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10</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15</w:t>
            </w:r>
          </w:p>
        </w:tc>
      </w:tr>
      <w:tr>
        <w:tblPrEx>
          <w:tblCellMar>
            <w:top w:w="0" w:type="dxa"/>
            <w:left w:w="10" w:type="dxa"/>
            <w:bottom w:w="0" w:type="dxa"/>
            <w:right w:w="10" w:type="dxa"/>
          </w:tblCellMar>
        </w:tblPrEx>
        <w:trPr>
          <w:trHeight w:val="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部门及所属二级单位通过履行职责和预算安排支出项目的实施，对我市带来的经济影响。</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1.通过部门所属企事业单位改革，促进了企事业单位效益增长情况；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2.通过预算支出项目的实施，促进了行业生产能力增长，从而带动行业经济效益增长；</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3.通过预算支出项目的实施，有效提高劳动效率，节约成本费用；</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4.通过预算支出项目的实施，降低了损耗，从而提高了生产效益；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5.通过预算支出项目的实施，完善了突发情况的监测预警，保障了生产安全，降低了生产损失。</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根据不同部门履职的内容和特点，具体测算部门履职产生的经济效益。</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部门及所属二级单位履行职责对社会发展所带来的直接或间接影响。</w:t>
            </w:r>
          </w:p>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1.通过部门所属企事业单位的改革，促进了企事业单位可持续发展，带动就业增长情况；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2.通过预算支出项目的实施，是否明显促进了行业精神文明建设；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3.通过部门履职是否明显提高城乡居民生活水平，满足了人们日益增长的物质与文化生活需求；</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4.通过预算项目的实施，是否提高了劳动生产率，降低了劳动强度，促进了劳动人民的身心健康；</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5.通过部门履职行业形象是否得到了大大提升了，增强了部门影响力。</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根据不同部门履职的内容和特点，具体测算部门履职产生的社会效益。</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部门及所属二级单位履行职责对生态环境所带来的直接或间接影响。</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1.通过预算支出项目的实施，绿色、节能环保新技术的应用和推广，明显带动各环节的节能减排，也具有一定的环境效益；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2.通过履职有效地控制虚假、伪劣、霉变等劣质产品进入市场，影响了人民生活质量，净化地市场环境；</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3.通过预算支出项目的实施，是否达到减少污染物排放；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4.通过预算支出项目的实施，周围环境得到了整治，面貌得到了改善。</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根据不同部门履职的内容和特点，具体测算部门履职产生的生态效益。</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2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0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auto"/>
                <w:spacing w:val="0"/>
                <w:position w:val="0"/>
                <w:sz w:val="21"/>
                <w:shd w:val="clear" w:fill="auto"/>
              </w:rPr>
            </w:pPr>
            <w:r>
              <w:rPr>
                <w:rFonts w:ascii="仿宋" w:hAnsi="仿宋" w:eastAsia="仿宋" w:cs="仿宋"/>
                <w:color w:val="auto"/>
                <w:spacing w:val="0"/>
                <w:position w:val="0"/>
                <w:sz w:val="21"/>
                <w:shd w:val="clear" w:fill="auto"/>
              </w:rPr>
              <w:t>按照满意度调查的优秀、良好、合格、不合格给予该项指标打分：</w:t>
            </w:r>
          </w:p>
          <w:p>
            <w:pPr>
              <w:widowControl w:val="0"/>
              <w:spacing w:before="0" w:after="0" w:line="240" w:lineRule="auto"/>
              <w:ind w:left="0" w:right="0" w:firstLine="0"/>
              <w:jc w:val="both"/>
              <w:rPr>
                <w:color w:val="auto"/>
                <w:spacing w:val="0"/>
                <w:position w:val="0"/>
                <w:shd w:val="clear" w:fill="auto"/>
              </w:rPr>
            </w:pPr>
            <w:r>
              <w:rPr>
                <w:rFonts w:ascii="仿宋" w:hAnsi="仿宋" w:eastAsia="仿宋" w:cs="仿宋"/>
                <w:color w:val="auto"/>
                <w:spacing w:val="0"/>
                <w:position w:val="0"/>
                <w:sz w:val="21"/>
                <w:shd w:val="clear" w:fill="auto"/>
              </w:rPr>
              <w:t>优秀（5）；良好（3）；合格（1）；不合格（0）。</w:t>
            </w:r>
          </w:p>
        </w:tc>
        <w:tc>
          <w:tcPr>
            <w:tcW w:w="6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bl>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both"/>
        <w:rPr>
          <w:rFonts w:ascii="仿宋" w:hAnsi="仿宋" w:eastAsia="仿宋" w:cs="仿宋"/>
          <w:color w:val="auto"/>
          <w:spacing w:val="0"/>
          <w:position w:val="0"/>
          <w:sz w:val="32"/>
          <w:shd w:val="clear" w:fill="auto"/>
        </w:rPr>
      </w:pPr>
    </w:p>
    <w:p>
      <w:pPr>
        <w:numPr>
          <w:ilvl w:val="0"/>
          <w:numId w:val="0"/>
        </w:numPr>
        <w:spacing w:before="0" w:after="0" w:line="240" w:lineRule="auto"/>
        <w:ind w:right="0" w:rightChars="0"/>
        <w:jc w:val="both"/>
        <w:rPr>
          <w:rFonts w:ascii="仿宋" w:hAnsi="仿宋" w:eastAsia="仿宋" w:cs="仿宋"/>
          <w:color w:val="auto"/>
          <w:spacing w:val="0"/>
          <w:position w:val="0"/>
          <w:sz w:val="32"/>
          <w:shd w:val="clear" w:fill="auto"/>
        </w:rPr>
      </w:pPr>
    </w:p>
    <w:p>
      <w:pPr>
        <w:numPr>
          <w:ilvl w:val="0"/>
          <w:numId w:val="1"/>
        </w:numPr>
        <w:spacing w:line="610" w:lineRule="exact"/>
        <w:ind w:firstLine="640"/>
        <w:rPr>
          <w:rFonts w:ascii="黑体" w:hAnsi="黑体" w:eastAsia="黑体" w:cs="黑体"/>
          <w:sz w:val="32"/>
          <w:szCs w:val="32"/>
        </w:rPr>
      </w:pPr>
      <w:r>
        <w:rPr>
          <w:rFonts w:hint="eastAsia" w:ascii="黑体" w:hAnsi="黑体" w:eastAsia="黑体" w:cs="黑体"/>
          <w:sz w:val="32"/>
          <w:szCs w:val="32"/>
          <w:lang w:val="en-US" w:eastAsia="zh-CN"/>
        </w:rPr>
        <w:t>基本概况</w:t>
      </w:r>
    </w:p>
    <w:p>
      <w:pPr>
        <w:spacing w:line="61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部门职责：</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w:t>
      </w:r>
      <w:r>
        <w:rPr>
          <w:rFonts w:hint="eastAsia" w:ascii="仿宋_GB2312" w:hAnsi="仿宋" w:eastAsia="仿宋_GB2312" w:cs="仿宋"/>
          <w:sz w:val="32"/>
          <w:szCs w:val="32"/>
        </w:rPr>
        <w:t>一）负责起草卫生和计划生育、中医药事业发展的地方性规章制度，拟订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负责制定疾病预防控制规划，负责组织实施国家免疫规划，开展严重危害人民健康的公共卫生问题的干预。制定卫生应急和紧急医学救援预案、突发公共卫生事件监测和风险评估计划，组织和指导突发公共卫生事件预防控制和各类突发公共事件的医疗卫生救援，根据授权发布法定报告传染病疫情信息、突发公共卫生事件应急处置信息。</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负责制定职责范围内的职业卫生、放射卫生、环境卫生、学校卫生、公共场所卫生、饮用水卫生管理规范和政策措施，组织开展相关监测、调查、评估和监督，负责传染病防治监督。组织开展食品安全风险监测，配合开展有关评估工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拟订基层卫生和计划生育服务、妇幼卫生发展规划和政策措施并组织实施，指导基层卫生和计划生育、妇幼卫生服务体系建设，推进基本公共卫生和计划生育服务均等化，完善基层运行新机制和乡村医生管理制度。</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负责制定医疗机构和医疗服务全行业管理办法并监督实施。制定医疗机构及其医疗服务、医疗技术、医疗质量、医疗安全以及采供血机构管理的规范并组织实施，会同有关部门组织实施卫生专业技术人员准入。实施卫生专业技术人员执业规则和服务规范，建立医疗服务评价和监督管理体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（六）负责组织推进公立医院改革，建立公益性为导向的绩效考核和评价运行机制，建设和谐医患关系，提出医疗服务和药品价格政策的建议。</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组织实施国家基本药物制度；组织落实省定药物政策；拟订基本药物采购、配送、使用的管理措施，监督和规范各级医疗机构基本药物使用，会同有关部门落实基本药物目录内药品生产的鼓励扶持政策和基本药物价格政策，提出全市基本药物价格政策的建议。</w:t>
      </w:r>
      <w:r>
        <w:rPr>
          <w:rFonts w:ascii="仿宋_GB2312" w:hAnsi="仿宋" w:eastAsia="仿宋_GB2312" w:cs="仿宋"/>
          <w:sz w:val="32"/>
          <w:szCs w:val="32"/>
        </w:rPr>
        <w:t xml:space="preserve">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贯彻落实计划生育工作的方针、政策，组织监测计划生育发展动态，提出发布计划生育安全预警预报信息建议，负责出生人口性别比的综合治理工作。制定计划生育技术服务管理制度并监督实施。负责再生育审核报批工作。拟订优生优育和提高出生人口素质的政策措施并组织实施，推动实施计划生育生殖健康促进计划，降低出生缺陷人口数量。</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（十）制定流动人口计划生育服务管理制度并组织落实。负责流动人口计划生育区域协作，推动建立流动人口卫生和计划生育信息共享和公共服务工作机制。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（十一）组织拟订卫生和计划生育人才发展规划，指导卫生和计划生育人才队伍建设。加强全科医生等急需紧缺专业人才培养，建立完善住院医师和专科医师规范化培训制度并指导实施。</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（十二）组织拟订卫生和计划生育科技发展规划，组织实施卫生和计划生育相关科研项目。会同有关部门制定医学教育发展规划和指导院校医学教育和计划生育教育，组织实施毕业后医学教育和继续医学教育。</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（十三）指导卫生和计划生育工作，完善综合监督执法体系，规范执法行为，监督检查法律法规和政策措施的落实，组织查处重大违法行为。坚持计划生育目标管理责任制，监督落实计划生育一票否决制。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（十四）负责卫生和计划生育宣传、健康教育、健康促进和信息化建设等工作，依法组织实施统计调查，参与人口基础信息库建设。组织指导国际交流合作与援外工作，开展与港澳台的交流与合作。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（十五）拟订中医药中长期发展规划，并纳入卫生和计划生育事业发展总体规划和战略目标。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（十六）负责市保健对象的医疗保健工作；负责重要会议与重大活动的医疗卫生保障工作。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（十七）承担市爱国卫生运动委员会、市深化医药卫生体制改革领导小组、市防治艾滋病工作委员会和市计划生育领导小组的日常工作。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（十八）承办市政府交办的其他事项。</w:t>
      </w:r>
    </w:p>
    <w:p>
      <w:pPr>
        <w:spacing w:line="560" w:lineRule="exact"/>
        <w:rPr>
          <w:rFonts w:ascii="仿宋_GB2312" w:eastAsia="仿宋_GB2312"/>
          <w:b/>
          <w:bCs/>
          <w:sz w:val="32"/>
          <w:szCs w:val="32"/>
        </w:rPr>
      </w:pPr>
      <w:r>
        <w:rPr>
          <w:rFonts w:hint="eastAsia" w:ascii="仿宋_GB2312" w:eastAsia="仿宋_GB2312"/>
          <w:b/>
          <w:bCs/>
          <w:sz w:val="32"/>
          <w:szCs w:val="32"/>
        </w:rPr>
        <w:t>机构设置：</w:t>
      </w:r>
    </w:p>
    <w:p>
      <w:pPr>
        <w:spacing w:line="610" w:lineRule="exact"/>
        <w:ind w:firstLine="640"/>
        <w:jc w:val="center"/>
        <w:rPr>
          <w:rFonts w:ascii="仿宋_GB2312" w:eastAsia="仿宋_GB2312"/>
          <w:sz w:val="32"/>
          <w:szCs w:val="32"/>
        </w:rPr>
      </w:pPr>
    </w:p>
    <w:tbl>
      <w:tblPr>
        <w:tblStyle w:val="6"/>
        <w:tblpPr w:leftFromText="180" w:rightFromText="180" w:vertAnchor="text" w:horzAnchor="page" w:tblpX="655" w:tblpY="35"/>
        <w:tblOverlap w:val="never"/>
        <w:tblW w:w="11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1879"/>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0" w:type="dxa"/>
          </w:tcPr>
          <w:p>
            <w:pPr>
              <w:spacing w:line="610" w:lineRule="exact"/>
              <w:jc w:val="center"/>
              <w:rPr>
                <w:rFonts w:ascii="仿宋_GB2312" w:eastAsia="仿宋_GB2312"/>
                <w:sz w:val="32"/>
                <w:szCs w:val="32"/>
              </w:rPr>
            </w:pPr>
            <w:r>
              <w:rPr>
                <w:rFonts w:hint="eastAsia" w:ascii="仿宋_GB2312" w:eastAsia="仿宋_GB2312"/>
                <w:sz w:val="32"/>
                <w:szCs w:val="32"/>
              </w:rPr>
              <w:t>单位名称</w:t>
            </w:r>
          </w:p>
        </w:tc>
        <w:tc>
          <w:tcPr>
            <w:tcW w:w="1879" w:type="dxa"/>
          </w:tcPr>
          <w:p>
            <w:pPr>
              <w:spacing w:line="610" w:lineRule="exact"/>
              <w:jc w:val="center"/>
              <w:rPr>
                <w:rFonts w:ascii="仿宋_GB2312" w:eastAsia="仿宋_GB2312"/>
                <w:sz w:val="32"/>
                <w:szCs w:val="32"/>
              </w:rPr>
            </w:pPr>
            <w:r>
              <w:rPr>
                <w:rFonts w:hint="eastAsia" w:ascii="仿宋_GB2312" w:eastAsia="仿宋_GB2312"/>
                <w:sz w:val="32"/>
                <w:szCs w:val="32"/>
              </w:rPr>
              <w:t>单位性质</w:t>
            </w:r>
          </w:p>
        </w:tc>
        <w:tc>
          <w:tcPr>
            <w:tcW w:w="2835" w:type="dxa"/>
          </w:tcPr>
          <w:p>
            <w:pPr>
              <w:spacing w:line="610" w:lineRule="exact"/>
              <w:jc w:val="center"/>
              <w:rPr>
                <w:rFonts w:ascii="仿宋_GB2312" w:eastAsia="仿宋_GB2312"/>
                <w:sz w:val="32"/>
                <w:szCs w:val="32"/>
              </w:rPr>
            </w:pPr>
            <w:r>
              <w:rPr>
                <w:rFonts w:hint="eastAsia" w:ascii="仿宋_GB2312" w:eastAsia="仿宋_GB2312"/>
                <w:sz w:val="32"/>
                <w:szCs w:val="32"/>
              </w:rPr>
              <w:t>单位规格</w:t>
            </w:r>
          </w:p>
        </w:tc>
        <w:tc>
          <w:tcPr>
            <w:tcW w:w="2835" w:type="dxa"/>
          </w:tcPr>
          <w:p>
            <w:pPr>
              <w:spacing w:line="610" w:lineRule="exact"/>
              <w:jc w:val="center"/>
              <w:rPr>
                <w:rFonts w:ascii="仿宋_GB2312" w:eastAsia="仿宋_GB2312"/>
                <w:sz w:val="32"/>
                <w:szCs w:val="32"/>
              </w:rPr>
            </w:pPr>
            <w:r>
              <w:rPr>
                <w:rFonts w:hint="eastAsia" w:ascii="仿宋_GB2312" w:eastAsia="仿宋_GB2312"/>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0" w:type="dxa"/>
          </w:tcPr>
          <w:p>
            <w:pPr>
              <w:spacing w:line="610" w:lineRule="exact"/>
              <w:jc w:val="center"/>
              <w:rPr>
                <w:rFonts w:ascii="仿宋_GB2312" w:eastAsia="仿宋_GB2312"/>
                <w:sz w:val="32"/>
                <w:szCs w:val="32"/>
              </w:rPr>
            </w:pPr>
            <w:r>
              <w:rPr>
                <w:rFonts w:hint="eastAsia" w:ascii="仿宋_GB2312" w:eastAsia="仿宋_GB2312"/>
                <w:sz w:val="32"/>
                <w:szCs w:val="32"/>
              </w:rPr>
              <w:t>沙河市卫生健康局</w:t>
            </w:r>
          </w:p>
        </w:tc>
        <w:tc>
          <w:tcPr>
            <w:tcW w:w="1879" w:type="dxa"/>
          </w:tcPr>
          <w:p>
            <w:pPr>
              <w:spacing w:line="610" w:lineRule="exact"/>
              <w:jc w:val="center"/>
              <w:rPr>
                <w:rFonts w:ascii="仿宋_GB2312" w:eastAsia="仿宋_GB2312"/>
                <w:sz w:val="32"/>
                <w:szCs w:val="32"/>
              </w:rPr>
            </w:pPr>
            <w:r>
              <w:rPr>
                <w:rFonts w:hint="eastAsia" w:ascii="仿宋_GB2312" w:eastAsia="仿宋_GB2312"/>
                <w:sz w:val="32"/>
                <w:szCs w:val="32"/>
              </w:rPr>
              <w:t>行政</w:t>
            </w:r>
          </w:p>
        </w:tc>
        <w:tc>
          <w:tcPr>
            <w:tcW w:w="2835" w:type="dxa"/>
          </w:tcPr>
          <w:p>
            <w:pPr>
              <w:spacing w:line="610" w:lineRule="exact"/>
              <w:jc w:val="center"/>
              <w:rPr>
                <w:rFonts w:ascii="仿宋_GB2312" w:eastAsia="仿宋_GB2312"/>
                <w:sz w:val="32"/>
                <w:szCs w:val="32"/>
              </w:rPr>
            </w:pPr>
            <w:r>
              <w:rPr>
                <w:rFonts w:hint="eastAsia" w:ascii="仿宋_GB2312" w:eastAsia="仿宋_GB2312"/>
                <w:sz w:val="32"/>
                <w:szCs w:val="32"/>
              </w:rPr>
              <w:t>正科级</w:t>
            </w:r>
          </w:p>
        </w:tc>
        <w:tc>
          <w:tcPr>
            <w:tcW w:w="2835" w:type="dxa"/>
          </w:tcPr>
          <w:p>
            <w:pPr>
              <w:spacing w:line="610" w:lineRule="exact"/>
              <w:jc w:val="center"/>
              <w:rPr>
                <w:rFonts w:ascii="仿宋_GB2312" w:eastAsia="仿宋_GB2312"/>
                <w:sz w:val="32"/>
                <w:szCs w:val="32"/>
              </w:rPr>
            </w:pPr>
            <w:r>
              <w:rPr>
                <w:rFonts w:hint="eastAsia" w:ascii="仿宋_GB2312" w:eastAsia="仿宋_GB2312"/>
                <w:sz w:val="32"/>
                <w:szCs w:val="32"/>
              </w:rPr>
              <w:t>财政拨款</w:t>
            </w:r>
          </w:p>
        </w:tc>
      </w:tr>
    </w:tbl>
    <w:p>
      <w:pPr>
        <w:numPr>
          <w:ilvl w:val="0"/>
          <w:numId w:val="0"/>
        </w:numPr>
        <w:spacing w:before="0" w:after="0" w:line="240" w:lineRule="auto"/>
        <w:ind w:right="0" w:rightChars="0"/>
        <w:jc w:val="both"/>
        <w:rPr>
          <w:rFonts w:hint="eastAsia" w:ascii="仿宋" w:hAnsi="仿宋" w:eastAsia="仿宋" w:cs="仿宋"/>
          <w:color w:val="auto"/>
          <w:spacing w:val="0"/>
          <w:position w:val="0"/>
          <w:sz w:val="32"/>
          <w:shd w:val="clear" w:fill="auto"/>
          <w:lang w:val="en-US" w:eastAsia="zh-CN"/>
        </w:rPr>
      </w:pPr>
    </w:p>
    <w:p>
      <w:pPr>
        <w:numPr>
          <w:ilvl w:val="0"/>
          <w:numId w:val="0"/>
        </w:numPr>
        <w:spacing w:before="0" w:after="0" w:line="240" w:lineRule="auto"/>
        <w:ind w:right="0" w:rightChars="0"/>
        <w:jc w:val="both"/>
        <w:rPr>
          <w:rFonts w:hint="eastAsia" w:ascii="仿宋" w:hAnsi="仿宋" w:eastAsia="仿宋" w:cs="仿宋"/>
          <w:b/>
          <w:bCs/>
          <w:sz w:val="32"/>
          <w:szCs w:val="32"/>
          <w:lang w:eastAsia="zh-CN"/>
        </w:rPr>
      </w:pPr>
      <w:r>
        <w:rPr>
          <w:rFonts w:hint="eastAsia" w:ascii="仿宋" w:hAnsi="仿宋" w:eastAsia="仿宋" w:cs="仿宋"/>
          <w:b/>
          <w:bCs/>
          <w:sz w:val="32"/>
          <w:szCs w:val="32"/>
        </w:rPr>
        <w:t>人员情况</w:t>
      </w:r>
      <w:r>
        <w:rPr>
          <w:rFonts w:hint="eastAsia" w:ascii="仿宋" w:hAnsi="仿宋" w:eastAsia="仿宋" w:cs="仿宋"/>
          <w:b/>
          <w:bCs/>
          <w:sz w:val="32"/>
          <w:szCs w:val="32"/>
          <w:lang w:eastAsia="zh-CN"/>
        </w:rPr>
        <w:t>：</w:t>
      </w:r>
    </w:p>
    <w:p>
      <w:pPr>
        <w:snapToGrid w:val="0"/>
        <w:spacing w:line="600" w:lineRule="exact"/>
        <w:ind w:left="-315" w:leftChars="-150" w:right="-315" w:rightChars="-150" w:firstLine="600" w:firstLineChars="200"/>
        <w:rPr>
          <w:rFonts w:hint="eastAsia" w:ascii="仿宋" w:hAnsi="仿宋" w:eastAsia="仿宋" w:cs="仿宋"/>
          <w:sz w:val="30"/>
          <w:szCs w:val="30"/>
        </w:rPr>
      </w:pPr>
      <w:r>
        <w:rPr>
          <w:rFonts w:hint="eastAsia" w:ascii="仿宋" w:hAnsi="仿宋" w:eastAsia="仿宋" w:cs="仿宋"/>
          <w:sz w:val="30"/>
          <w:szCs w:val="30"/>
        </w:rPr>
        <w:t>我部门干部职工在职人员共计1399人，其中全额人员122人，自收自支人员1170人；退休人员107人。</w:t>
      </w: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资产情况：</w:t>
      </w:r>
    </w:p>
    <w:p>
      <w:pPr>
        <w:snapToGrid w:val="0"/>
        <w:spacing w:line="600" w:lineRule="exact"/>
        <w:ind w:left="-315" w:leftChars="-150" w:right="-315" w:rightChars="-150" w:firstLine="600" w:firstLineChars="200"/>
        <w:rPr>
          <w:rFonts w:hint="eastAsia" w:ascii="仿宋" w:hAnsi="仿宋" w:eastAsia="仿宋" w:cs="仿宋"/>
          <w:sz w:val="30"/>
          <w:szCs w:val="30"/>
        </w:rPr>
      </w:pPr>
      <w:r>
        <w:rPr>
          <w:rFonts w:hint="eastAsia" w:ascii="仿宋" w:hAnsi="仿宋" w:eastAsia="仿宋" w:cs="仿宋"/>
          <w:sz w:val="30"/>
          <w:szCs w:val="30"/>
        </w:rPr>
        <w:t>我部门2019年度资产41761.16万元，负债27044.15万元，2018年度资产</w:t>
      </w:r>
      <w:r>
        <w:rPr>
          <w:rFonts w:ascii="仿宋" w:hAnsi="仿宋" w:eastAsia="仿宋" w:cs="仿宋"/>
          <w:sz w:val="30"/>
          <w:szCs w:val="30"/>
        </w:rPr>
        <w:t>42279</w:t>
      </w:r>
      <w:r>
        <w:rPr>
          <w:rFonts w:hint="eastAsia" w:ascii="仿宋" w:hAnsi="仿宋" w:eastAsia="仿宋" w:cs="仿宋"/>
          <w:sz w:val="30"/>
          <w:szCs w:val="30"/>
        </w:rPr>
        <w:t>.</w:t>
      </w:r>
      <w:r>
        <w:rPr>
          <w:rFonts w:ascii="仿宋" w:hAnsi="仿宋" w:eastAsia="仿宋" w:cs="仿宋"/>
          <w:sz w:val="30"/>
          <w:szCs w:val="30"/>
        </w:rPr>
        <w:t>9</w:t>
      </w:r>
      <w:r>
        <w:rPr>
          <w:rFonts w:hint="eastAsia" w:ascii="仿宋" w:hAnsi="仿宋" w:eastAsia="仿宋" w:cs="仿宋"/>
          <w:sz w:val="30"/>
          <w:szCs w:val="30"/>
        </w:rPr>
        <w:t>6 万元，负债</w:t>
      </w:r>
      <w:r>
        <w:rPr>
          <w:rFonts w:ascii="仿宋" w:hAnsi="仿宋" w:eastAsia="仿宋" w:cs="仿宋"/>
          <w:sz w:val="30"/>
          <w:szCs w:val="30"/>
        </w:rPr>
        <w:t>24014</w:t>
      </w:r>
      <w:r>
        <w:rPr>
          <w:rFonts w:hint="eastAsia" w:ascii="仿宋" w:hAnsi="仿宋" w:eastAsia="仿宋" w:cs="仿宋"/>
          <w:sz w:val="30"/>
          <w:szCs w:val="30"/>
        </w:rPr>
        <w:t>.</w:t>
      </w:r>
      <w:r>
        <w:rPr>
          <w:rFonts w:ascii="仿宋" w:hAnsi="仿宋" w:eastAsia="仿宋" w:cs="仿宋"/>
          <w:sz w:val="30"/>
          <w:szCs w:val="30"/>
        </w:rPr>
        <w:t>7</w:t>
      </w:r>
      <w:r>
        <w:rPr>
          <w:rFonts w:hint="eastAsia" w:ascii="仿宋" w:hAnsi="仿宋" w:eastAsia="仿宋" w:cs="仿宋"/>
          <w:sz w:val="30"/>
          <w:szCs w:val="30"/>
        </w:rPr>
        <w:t>4 万元，与上年度相比资产减少了518.8万元，减少1 %，因新政府会计制度改革，固定资产计提折旧导致。负债比上年度增加3029.41万元，增幅13%。</w:t>
      </w: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部门履职总体目标：</w:t>
      </w:r>
    </w:p>
    <w:p>
      <w:pPr>
        <w:spacing w:line="61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、公共卫生服务</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职责描述：公共卫生是保障人民大众身心健康的公共事业，包括提供基本公共卫生服务，疾病预防控制，对突发公共卫生事件的应急处置，促进妇女儿童健康，食品安全风险监管等各项工作。</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绩效目标：推进基本公共卫生服务均等化；控制各类重大疾病的发生与传播；有效应对我县突发公共卫生事件；保障妇女儿童身心健康；提高食品安全风险预警能力，为保障食品安全提供技术支撑。</w:t>
      </w:r>
    </w:p>
    <w:p>
      <w:pPr>
        <w:spacing w:line="61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、医疗卫生服务</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职责描述：以医疗技术为基本服务手段，通过各级各类医疗机构，向广大人民群众提供的医疗、预防、保健及康复等服务。</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绩效目标：提高医疗机构的疾病救治能力，强化公立医院和基层医疗卫生机构综合改革，满足各类人民群众的医疗服务需求。</w:t>
      </w:r>
    </w:p>
    <w:p>
      <w:pPr>
        <w:spacing w:line="61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、计划生育服务</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职责描述：提供各类计划生育技术服务，建立计划生育利益导向机制，开展出生人口性别比治理以及流动人口计划生育管理等各项工作。</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绩效目标：保持适度的低生育水平，有效保障计划生育家庭生活水平，提高妇女生殖健康水平，降低出生缺陷的发生，有效遏制出生人口性别比偏高问题。</w:t>
      </w:r>
    </w:p>
    <w:p>
      <w:pPr>
        <w:spacing w:line="61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、中医药健康</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职责描述：中医药人才培养、中医药信息化建设、中医药文化推广等各项工作，满足各类人民群众享受民族医药服务的需求。</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绩效目标：加强中医药能力建设，提高中医药人员服务水平，有效发挥中医药在医疗保健领域的特色优势。</w:t>
      </w:r>
    </w:p>
    <w:p>
      <w:pPr>
        <w:numPr>
          <w:ilvl w:val="0"/>
          <w:numId w:val="2"/>
        </w:numPr>
        <w:spacing w:line="61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卫生计生政务</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职责描述：拟定卫生计生改革与发展目标、规划，组织指导相关工作开展，承担政务公开和业务宣传工作，加强卫生计生能力建设。</w:t>
      </w:r>
    </w:p>
    <w:p>
      <w:pPr>
        <w:numPr>
          <w:ilvl w:val="0"/>
          <w:numId w:val="0"/>
        </w:numPr>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绩效目标：保障卫生健康事业稳定发展。</w:t>
      </w:r>
    </w:p>
    <w:p>
      <w:pPr>
        <w:pStyle w:val="2"/>
        <w:rPr>
          <w:rFonts w:hint="eastAsia" w:ascii="仿宋" w:hAnsi="仿宋" w:eastAsia="仿宋" w:cs="仿宋"/>
          <w:b/>
          <w:bCs/>
          <w:sz w:val="32"/>
          <w:szCs w:val="32"/>
        </w:rPr>
      </w:pPr>
      <w:r>
        <w:rPr>
          <w:rFonts w:hint="eastAsia" w:ascii="仿宋" w:hAnsi="仿宋" w:eastAsia="仿宋" w:cs="仿宋"/>
          <w:b/>
          <w:bCs/>
          <w:sz w:val="32"/>
          <w:szCs w:val="32"/>
        </w:rPr>
        <w:t>预算资金安排及资金支出情况</w:t>
      </w:r>
    </w:p>
    <w:p>
      <w:pPr>
        <w:spacing w:line="61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6211.45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2161.55</w:t>
      </w:r>
      <w:r>
        <w:rPr>
          <w:rFonts w:hint="eastAsia" w:ascii="仿宋_GB2312" w:hAnsi="仿宋_GB2312" w:eastAsia="仿宋_GB2312" w:cs="仿宋_GB2312"/>
          <w:sz w:val="32"/>
          <w:szCs w:val="32"/>
        </w:rPr>
        <w:t>万元，包括人员经费和日常公用经费；项目支出</w:t>
      </w:r>
      <w:r>
        <w:rPr>
          <w:rFonts w:hint="eastAsia" w:ascii="仿宋_GB2312" w:hAnsi="仿宋_GB2312" w:eastAsia="仿宋_GB2312" w:cs="仿宋_GB2312"/>
          <w:sz w:val="32"/>
          <w:szCs w:val="32"/>
          <w:lang w:val="en-US" w:eastAsia="zh-CN"/>
        </w:rPr>
        <w:t>4049.9</w:t>
      </w:r>
      <w:r>
        <w:rPr>
          <w:rFonts w:hint="eastAsia" w:ascii="仿宋_GB2312" w:hAnsi="仿宋_GB2312" w:eastAsia="仿宋_GB2312" w:cs="仿宋_GB2312"/>
          <w:sz w:val="32"/>
          <w:szCs w:val="32"/>
        </w:rPr>
        <w:t>万元，全部为本级支出的卫生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事业运转经费。</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预算绩效管理开展及整体绩效实现情况</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1）公共卫生项目绩效评价结果。公共卫生服务项目整体实施效果显著。资金到位及时，到位率100%，制定并转发《河北省公共卫生服务项目资金管理使用细则》，规范了资金使用管理；定期对项目工作进行绩效考核，监督完成情况；项目活动开展和服务的数量和质量达到绩效目标和指标要求，项目的实施、宣传、制度建设、机制建设等情况都达到了预期的效果；项目服务对象的满意度较高，具有良好的社会氛围。</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存在的问题及困难：各乡镇开展工作不平衡，公共卫生专业人员素质较低，技术水平参差不齐；医疗机构编制有限，业务量大，给工作的开展带来影响；乡村对公共卫生服务均等化服务认识不够，从基本医疗向公共卫生服务的转变意识较差；由于覆盖区域较大、人口分别较散，群众文化程度低、健康意识淡薄，对发放的药品不认可，慢性病和重性精神病患者、待孕妇女等人群访视困难较多。在结核病防治过程中，医院方以没有专职的人员和实验室为由，痰涂片工作迟迟未能开展；政府承诺的免费X线胸片检查已不再免费，免费痰涂片检查也已停止，现患者只有免费用药政策可享受。另外，抗结核药品在各大药房和医院可任意购买，部分患者到我市定点医疗机构就诊时，由于在领取免费抗结核药品前，需做相关检查，有些病人嫌麻烦或嫌花钱，从而拒绝检查，给结核病防治工作带来很多困难。</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(2)基本药物制度项目绩效评价结果：基本药物制度专项整体实施效果显著。资金到位及时，到位率100%，制定了《沙河市卫生和计划生育局专项资金管理办法》，规范了资金使用管理；定期对项目工作进行绩效考核，监督完成情况；项目活动开展和服务的数量和质量、经济效益及可持续影响等指标均达到绩效目标和指标要求，项目的实施、宣传、制度建设、机制建设等情况都达到了预期的效果；项目服务对象的满意度较高，具有良好的社会氛围。</w:t>
      </w:r>
    </w:p>
    <w:p>
      <w:pPr>
        <w:spacing w:line="600" w:lineRule="exact"/>
        <w:ind w:left="-315" w:leftChars="-150" w:right="-315" w:rightChars="-150" w:firstLine="600" w:firstLineChars="200"/>
        <w:jc w:val="left"/>
        <w:rPr>
          <w:rFonts w:hint="eastAsia" w:ascii="仿宋" w:hAnsi="仿宋" w:eastAsia="仿宋" w:cs="仿宋"/>
          <w:sz w:val="30"/>
          <w:szCs w:val="30"/>
        </w:rPr>
      </w:pPr>
      <w:r>
        <w:rPr>
          <w:rFonts w:hint="eastAsia" w:ascii="仿宋" w:hAnsi="仿宋" w:eastAsia="仿宋" w:cs="仿宋"/>
          <w:sz w:val="30"/>
          <w:szCs w:val="30"/>
        </w:rPr>
        <w:t>按照上级有关要求，继续组织实施基本药物制度，制定全市基本药物采购、配送、使用管理制度。建立药品集中采购制度，逐步取消药品加成，实现基本药物制度乡村卫生机构全覆盖，缓解百姓“看病难、看病贵”问题。本次绩效自评结构将全面公开，并和拨付资金挂钩。</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存在的问题：乡村医生结构不合理，阻碍村卫生的可持续发展。部分乡村医生普遍“底子薄、基础弱”，学历偏低，年龄偏大，专业技术偏低，技术水平参差不齐；基本药物目录品种少。纳入基本药物目录中的药物品种，较少考虑农村地区疾病状况及不同疾病病种（如慢性病、儿童疾病用药）需求的多样性，导致基本药物目录品种少，村民开药不方便；基本药物配送不及时。有些村卫生室分布较为分散、位置相对偏远、交通不便、药品用量相对有限、基本药物价格较低、运送成本偏高等多方面的原因，药品企业生产与配送的积极性不高，导致农村卫生室部分基本药物出现缺货断货，基本药物的供应难以得到充足持续的保障。</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3）医疗服务能力提升（公立医院综合改革）项目绩效评价结果：公立医院改革项目整体实施效果显著，资金到位及时，到位率100%，制定了《专项资金管理办法》，规范了资金使用管理；定期对项目工作进行绩效考核，监督完成情况；项目活动开展和服务的数量和质量、经济效益及可持续影响等指标均达到绩效目标和指标要求，项目的实施、宣传、制度建设、机制建设等情况都达到了预期的效果；项目服务对象的满意度较高，具有良好的社会氛围。两家公立医院医院所有药品均实行网上集中阳光采购，降低了药品价格，购买医疗设备,切实的为就诊患者提供了优质的治疗服务，在后期的随访中，来院就诊患者对医院满意度比往前有了显著提高，医院医疗服务能力提高见成效。全面实行药品零差率，自实行以来每年都有亏损，资金弥补了亏损情况。项目实施期间，项目单位充分发挥资金使用效率，明确相关科室的职责和工作标准，营造了项目实施的良好社会氛围，项目实施效果显著。</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存在的问题：人员编制少,几年来，由于两家医院（原市医院和原人民医院）的资源整合，就诊病人急剧增加，医院都存在严重缺编少人的情况，无法满足日常医疗工作需要。建议政府解决编制问题；历史债务多。我市两家公立医院都有历史债务，县级医院自己无力偿还，尤其是人民医院新建住院大楼、添置设备等，形成沉重的债务负担，阻碍了医院的发展。建议政府应在充分调查研究基础上，尽快解决化解县级公立医院历史债务；药品问题 据初步统计，新农合基本药品目录品种不足，县级公立医院基本用药目录与新农合基本药品目录、医保基本药品目录不统一，给患者报销带来困难。 医院实行药品零差价后，广大病人反应，药价下降不明显。建议根据实际需求修订基本药物目录。政府对于提供对疗效好、价格低的药品厂家给予适当补偿，以保证顺利供应，实惠于民。</w:t>
      </w:r>
    </w:p>
    <w:p>
      <w:pPr>
        <w:pStyle w:val="3"/>
        <w:spacing w:before="0" w:beforeAutospacing="0" w:after="0" w:afterAutospacing="0" w:line="600" w:lineRule="exact"/>
        <w:ind w:left="-315" w:leftChars="-150" w:right="-315" w:rightChars="-150" w:firstLine="600" w:firstLineChars="200"/>
        <w:jc w:val="both"/>
        <w:rPr>
          <w:rFonts w:hint="eastAsia" w:ascii="仿宋" w:hAnsi="仿宋" w:eastAsia="仿宋" w:cs="仿宋"/>
          <w:sz w:val="30"/>
          <w:szCs w:val="30"/>
        </w:rPr>
      </w:pPr>
      <w:r>
        <w:rPr>
          <w:rFonts w:hint="eastAsia" w:ascii="仿宋" w:hAnsi="仿宋" w:eastAsia="仿宋" w:cs="仿宋"/>
          <w:sz w:val="30"/>
          <w:szCs w:val="30"/>
        </w:rPr>
        <w:t>（4）计划生育服务项目：资金到位及时，到位率100%，通过实施国家奖扶、特扶等制度，创建幸福家庭等工作，全面提高了计划生育家庭的发展能力。做好出生人口性别比治理工作，加强流动人口计划生育管理，提升基层基础计划生育队伍服务水平。协助政府开展计划生育群众自治、亲情关爱及幸福工程等工作，动员广大群众自觉参与和实行各项计划生育政策。</w:t>
      </w:r>
    </w:p>
    <w:p>
      <w:pPr>
        <w:pStyle w:val="8"/>
        <w:spacing w:line="600" w:lineRule="exact"/>
        <w:ind w:left="-315" w:leftChars="-150" w:right="-315" w:rightChars="-150" w:firstLine="600" w:firstLineChars="200"/>
        <w:rPr>
          <w:rFonts w:hint="eastAsia" w:ascii="仿宋" w:hAnsi="仿宋" w:eastAsia="仿宋" w:cs="仿宋"/>
          <w:sz w:val="30"/>
          <w:szCs w:val="30"/>
        </w:rPr>
      </w:pPr>
      <w:r>
        <w:rPr>
          <w:rFonts w:hint="eastAsia" w:ascii="仿宋" w:hAnsi="仿宋" w:eastAsia="仿宋" w:cs="仿宋"/>
          <w:sz w:val="30"/>
          <w:szCs w:val="30"/>
        </w:rPr>
        <w:t>存在的问题和困难:因历年计划生育政策的调整，造成对不同时期内的符合奖励扶助政策的计划生育家庭的资格认定困难，特别是一些再婚等存在特殊情况的家庭。</w:t>
      </w:r>
    </w:p>
    <w:p>
      <w:pPr>
        <w:pStyle w:val="8"/>
        <w:numPr>
          <w:ilvl w:val="0"/>
          <w:numId w:val="0"/>
        </w:numPr>
        <w:spacing w:line="600" w:lineRule="exact"/>
        <w:ind w:left="640" w:leftChars="0" w:right="-315" w:rightChars="-150"/>
        <w:rPr>
          <w:rFonts w:hint="eastAsia" w:ascii="仿宋" w:hAnsi="仿宋" w:eastAsia="仿宋" w:cs="仿宋"/>
          <w:b/>
          <w:bCs/>
          <w:i w:val="0"/>
          <w:caps w:val="0"/>
          <w:color w:val="000000"/>
          <w:spacing w:val="0"/>
          <w:sz w:val="32"/>
          <w:szCs w:val="32"/>
          <w:shd w:val="clear" w:fill="FFFFFF"/>
          <w:lang w:val="en-US" w:eastAsia="zh-CN"/>
        </w:rPr>
      </w:pPr>
      <w:r>
        <w:rPr>
          <w:rFonts w:hint="eastAsia" w:ascii="仿宋" w:hAnsi="仿宋" w:eastAsia="仿宋" w:cs="仿宋"/>
          <w:b/>
          <w:bCs/>
          <w:i w:val="0"/>
          <w:caps w:val="0"/>
          <w:color w:val="000000"/>
          <w:spacing w:val="0"/>
          <w:sz w:val="32"/>
          <w:szCs w:val="32"/>
          <w:shd w:val="clear" w:fill="FFFFFF"/>
          <w:lang w:val="en-US" w:eastAsia="zh-CN"/>
        </w:rPr>
        <w:t>三</w:t>
      </w:r>
      <w:r>
        <w:rPr>
          <w:rFonts w:hint="eastAsia" w:ascii="仿宋" w:hAnsi="仿宋" w:eastAsia="仿宋" w:cs="仿宋"/>
          <w:b/>
          <w:bCs/>
          <w:i w:val="0"/>
          <w:caps w:val="0"/>
          <w:color w:val="000000"/>
          <w:spacing w:val="0"/>
          <w:sz w:val="32"/>
          <w:szCs w:val="32"/>
          <w:shd w:val="clear" w:fill="FFFFFF"/>
        </w:rPr>
        <w:t>绩效</w:t>
      </w:r>
      <w:r>
        <w:rPr>
          <w:rFonts w:hint="eastAsia" w:ascii="仿宋" w:hAnsi="仿宋" w:eastAsia="仿宋" w:cs="仿宋"/>
          <w:b/>
          <w:bCs/>
          <w:i w:val="0"/>
          <w:caps w:val="0"/>
          <w:color w:val="000000"/>
          <w:spacing w:val="0"/>
          <w:sz w:val="32"/>
          <w:szCs w:val="32"/>
          <w:shd w:val="clear" w:fill="FFFFFF"/>
          <w:lang w:val="en-US" w:eastAsia="zh-CN"/>
        </w:rPr>
        <w:t>评价的组织实施情况</w:t>
      </w:r>
    </w:p>
    <w:p>
      <w:pPr>
        <w:pStyle w:val="8"/>
        <w:numPr>
          <w:ilvl w:val="0"/>
          <w:numId w:val="0"/>
        </w:numPr>
        <w:spacing w:line="600" w:lineRule="exact"/>
        <w:ind w:right="-315" w:rightChars="-150"/>
        <w:rPr>
          <w:rFonts w:hint="default" w:ascii="仿宋" w:hAnsi="仿宋" w:eastAsia="仿宋" w:cs="仿宋"/>
          <w:b/>
          <w:bCs/>
          <w:i w:val="0"/>
          <w:caps w:val="0"/>
          <w:color w:val="000000"/>
          <w:spacing w:val="0"/>
          <w:sz w:val="32"/>
          <w:szCs w:val="32"/>
          <w:shd w:val="clear" w:fill="FFFFFF"/>
          <w:lang w:val="en-US" w:eastAsia="zh-CN"/>
        </w:rPr>
      </w:pPr>
      <w:r>
        <w:rPr>
          <w:rFonts w:hint="eastAsia" w:ascii="仿宋" w:hAnsi="仿宋" w:eastAsia="仿宋" w:cs="仿宋"/>
          <w:b/>
          <w:bCs/>
          <w:i w:val="0"/>
          <w:caps w:val="0"/>
          <w:color w:val="000000"/>
          <w:spacing w:val="0"/>
          <w:sz w:val="32"/>
          <w:szCs w:val="32"/>
          <w:shd w:val="clear" w:fill="FFFFFF"/>
          <w:lang w:val="en-US" w:eastAsia="zh-CN"/>
        </w:rPr>
        <w:t>前期准备：</w:t>
      </w:r>
    </w:p>
    <w:p>
      <w:pPr>
        <w:pStyle w:val="8"/>
        <w:numPr>
          <w:ilvl w:val="0"/>
          <w:numId w:val="0"/>
        </w:numPr>
        <w:spacing w:line="600" w:lineRule="exact"/>
        <w:ind w:right="-315" w:rightChars="-15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依据部门职责及年初制定的各项工作任务对本单位</w:t>
      </w:r>
      <w:r>
        <w:rPr>
          <w:rFonts w:hint="eastAsia" w:ascii="仿宋" w:hAnsi="仿宋" w:eastAsia="仿宋" w:cs="仿宋"/>
          <w:sz w:val="32"/>
          <w:szCs w:val="32"/>
        </w:rPr>
        <w:t>绩效目标、绩效指标</w:t>
      </w:r>
      <w:r>
        <w:rPr>
          <w:rFonts w:hint="eastAsia" w:ascii="仿宋" w:hAnsi="仿宋" w:eastAsia="仿宋" w:cs="仿宋"/>
          <w:sz w:val="32"/>
          <w:szCs w:val="32"/>
          <w:lang w:eastAsia="zh-CN"/>
        </w:rPr>
        <w:t>进行评价，</w:t>
      </w:r>
      <w:r>
        <w:rPr>
          <w:rFonts w:hint="eastAsia" w:ascii="仿宋" w:hAnsi="仿宋" w:eastAsia="仿宋" w:cs="仿宋"/>
          <w:sz w:val="32"/>
          <w:szCs w:val="32"/>
        </w:rPr>
        <w:t>评价标准</w:t>
      </w:r>
      <w:r>
        <w:rPr>
          <w:rFonts w:hint="eastAsia" w:ascii="仿宋" w:hAnsi="仿宋" w:eastAsia="仿宋" w:cs="仿宋"/>
          <w:sz w:val="32"/>
          <w:szCs w:val="32"/>
          <w:lang w:eastAsia="zh-CN"/>
        </w:rPr>
        <w:t>主要为</w:t>
      </w:r>
      <w:r>
        <w:rPr>
          <w:rFonts w:hint="eastAsia" w:ascii="仿宋" w:hAnsi="仿宋" w:eastAsia="仿宋" w:cs="仿宋"/>
          <w:sz w:val="32"/>
          <w:szCs w:val="32"/>
          <w:lang w:val="en-US" w:eastAsia="zh-CN"/>
        </w:rPr>
        <w:t>实际完成率</w:t>
      </w:r>
      <w:r>
        <w:rPr>
          <w:rFonts w:hint="eastAsia" w:ascii="仿宋" w:hAnsi="仿宋" w:eastAsia="仿宋" w:cs="仿宋"/>
          <w:sz w:val="32"/>
          <w:szCs w:val="32"/>
          <w:lang w:eastAsia="zh-CN"/>
        </w:rPr>
        <w:t>，评价方法为按照绩效指标逐项对标评分。</w:t>
      </w:r>
    </w:p>
    <w:p>
      <w:pPr>
        <w:pStyle w:val="8"/>
        <w:numPr>
          <w:ilvl w:val="0"/>
          <w:numId w:val="0"/>
        </w:numPr>
        <w:spacing w:line="600" w:lineRule="exact"/>
        <w:ind w:left="640" w:leftChars="0" w:right="-315" w:rightChars="-150"/>
        <w:jc w:val="both"/>
        <w:rPr>
          <w:rFonts w:hint="eastAsia" w:ascii="仿宋" w:hAnsi="仿宋" w:eastAsia="仿宋" w:cs="仿宋"/>
          <w:b/>
          <w:bCs/>
          <w:i w:val="0"/>
          <w:caps w:val="0"/>
          <w:color w:val="000000"/>
          <w:spacing w:val="0"/>
          <w:sz w:val="32"/>
          <w:szCs w:val="32"/>
          <w:shd w:val="clear" w:fill="FFFFFF"/>
          <w:lang w:val="en-US" w:eastAsia="zh-CN"/>
        </w:rPr>
      </w:pPr>
    </w:p>
    <w:tbl>
      <w:tblPr>
        <w:tblStyle w:val="6"/>
        <w:tblW w:w="11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1160.92</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公共卫生是保障人民大众身心健康的公共事业，包括提供基本公共卫生服务，疾病预防控制，对突发公共卫生事件的应急处置，促进妇女儿童健康，等各项工作。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推进基本公共卫生服务均等化；控制各类重大疾病的发生与传播；有效应对我县突发公共卫生事件；保障妇女儿童身心健康。</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595</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按照国家基本公共卫生服务项目《规范》，组织全县基层医疗卫生机构开展实施基本公共卫生服务项目。</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对城乡居民健康实行干预，减少危害健康的因素，有效预防传染病及慢性病，使其享有平等的基本卫生服务。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免费健康体检率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城乡居民电子档案建档率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城乡居民健康档案建档率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485</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组织落实重大疾病防治规划、国家免疫规划及严重危害人民健康公共卫生问题的干预措施，防止和控制疾病发生和疫情蔓延，组织开展全县爱国卫生工作。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预防和控制疾病的发生、流动和传播，提高全县人民健康水平。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重性精神疾病患者健康管理率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vAlign w:val="center"/>
          </w:tcPr>
          <w:p>
            <w:pPr>
              <w:spacing w:line="300" w:lineRule="exact"/>
              <w:jc w:val="center"/>
              <w:rPr>
                <w:rFonts w:ascii="方正书宋_GBK" w:eastAsia="方正书宋_GBK"/>
              </w:rPr>
            </w:pPr>
            <w:r>
              <w:rPr>
                <w:rFonts w:ascii="方正书宋_GBK" w:eastAsia="方正书宋_GBK"/>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国家免疫规划疫苗接种率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6.30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负责全县卫生应急体系和能力建设，突发公共卫生事件的预防准备、监测预警、处置救援、总结评估等工作。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提高突发公共卫生事件的应急处置能力，有效应对突发公共卫生事件，保障人民群众健康和生命安全。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突发公共卫生事件信息报告率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vAlign w:val="center"/>
          </w:tcPr>
          <w:p>
            <w:pPr>
              <w:spacing w:line="300" w:lineRule="exact"/>
              <w:jc w:val="center"/>
              <w:rPr>
                <w:rFonts w:ascii="方正书宋_GBK" w:eastAsia="方正书宋_GBK"/>
              </w:rPr>
            </w:pPr>
            <w:r>
              <w:rPr>
                <w:rFonts w:ascii="方正书宋_GBK" w:eastAsia="方正书宋_GBK"/>
              </w:rPr>
              <w:t>&lt;97%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突发公共事件卫生应急处置率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p>
        </w:tc>
        <w:tc>
          <w:tcPr>
            <w:tcW w:w="737" w:type="dxa"/>
            <w:vAlign w:val="center"/>
          </w:tcPr>
          <w:p>
            <w:pPr>
              <w:spacing w:line="300" w:lineRule="exact"/>
              <w:jc w:val="center"/>
              <w:rPr>
                <w:rFonts w:ascii="方正书宋_GBK" w:eastAsia="方正书宋_GBK"/>
              </w:rPr>
            </w:pPr>
            <w:r>
              <w:rPr>
                <w:rFonts w:ascii="方正书宋_GBK" w:eastAsia="方正书宋_GBK"/>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74.62</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落实上级妇幼健康服务项目，开展母婴保健、辅助生殖技术管理、妇女儿童常见病和多发病防治、出生缺陷综合防治、出生医学证明等母婴保健法律证件管理等各项工作。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提高妇女儿童健康水平和出生人口素质。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住院分娩率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p>
        </w:tc>
        <w:tc>
          <w:tcPr>
            <w:tcW w:w="737" w:type="dxa"/>
            <w:vAlign w:val="center"/>
          </w:tcPr>
          <w:p>
            <w:pPr>
              <w:spacing w:line="300" w:lineRule="exact"/>
              <w:jc w:val="center"/>
              <w:rPr>
                <w:rFonts w:ascii="方正书宋_GBK" w:eastAsia="方正书宋_GBK"/>
              </w:rPr>
            </w:pPr>
            <w:r>
              <w:rPr>
                <w:rFonts w:ascii="方正书宋_GBK" w:eastAsia="方正书宋_GBK"/>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岁婴儿死亡率（</w:t>
            </w:r>
            <w:r>
              <w:rPr>
                <w:rFonts w:ascii="方正书宋_GBK" w:eastAsia="方正书宋_GBK"/>
              </w:rPr>
              <w:t>‰</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&lt;7‰</w:t>
            </w:r>
          </w:p>
        </w:tc>
        <w:tc>
          <w:tcPr>
            <w:tcW w:w="737" w:type="dxa"/>
            <w:vAlign w:val="center"/>
          </w:tcPr>
          <w:p>
            <w:pPr>
              <w:spacing w:line="300" w:lineRule="exact"/>
              <w:jc w:val="center"/>
              <w:rPr>
                <w:rFonts w:ascii="方正书宋_GBK" w:eastAsia="方正书宋_GBK"/>
              </w:rPr>
            </w:pP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ascii="方正书宋_GBK" w:eastAsia="方正书宋_GBK"/>
              </w:rPr>
              <w:t>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新生儿疾病筛查率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产前筛查率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vAlign w:val="center"/>
          </w:tcPr>
          <w:p>
            <w:pPr>
              <w:spacing w:line="300" w:lineRule="exact"/>
              <w:jc w:val="center"/>
              <w:rPr>
                <w:rFonts w:ascii="方正书宋_GBK" w:eastAsia="方正书宋_GBK"/>
              </w:rPr>
            </w:pPr>
            <w:r>
              <w:rPr>
                <w:rFonts w:ascii="方正书宋_GBK" w:eastAsia="方正书宋_GBK"/>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834.78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以医疗技术为基本服务手段，通过各级各类医疗机构，向广大人民群众提供的医疗、预防、保健及康复等服务。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提高医疗机构的疾病救治能力，强化公立医院和基层医疗卫生机构综合改革，满足各类人民群众的医疗服务需求。</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针对不同类型的疾病提供预防、检查、诊断、治疗和康复等各类医疗服务，健全我县医疗机构和医疗服务全行业管理制度，开展医疗惠民工程等各类医疗服务工作。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提高医疗救治水平，满足各类患者的医疗服务需求。</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患者死亡率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入出院诊断符合率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门急诊服务窗口平均等候时间（分钟）</w:t>
            </w:r>
          </w:p>
        </w:tc>
        <w:tc>
          <w:tcPr>
            <w:tcW w:w="737" w:type="dxa"/>
            <w:vAlign w:val="center"/>
          </w:tcPr>
          <w:p>
            <w:pPr>
              <w:spacing w:line="300" w:lineRule="exact"/>
              <w:jc w:val="center"/>
              <w:rPr>
                <w:rFonts w:ascii="方正书宋_GBK" w:eastAsia="方正书宋_GBK"/>
              </w:rPr>
            </w:pPr>
            <w:r>
              <w:rPr>
                <w:rFonts w:ascii="方正书宋_GBK" w:eastAsia="方正书宋_GBK"/>
              </w:rPr>
              <w:t>&lt;10</w:t>
            </w:r>
          </w:p>
        </w:tc>
        <w:tc>
          <w:tcPr>
            <w:tcW w:w="737" w:type="dxa"/>
            <w:vAlign w:val="center"/>
          </w:tcPr>
          <w:p>
            <w:pPr>
              <w:spacing w:line="300" w:lineRule="exact"/>
              <w:jc w:val="center"/>
              <w:rPr>
                <w:rFonts w:ascii="方正书宋_GBK" w:eastAsia="方正书宋_GBK"/>
              </w:rPr>
            </w:pPr>
            <w:r>
              <w:rPr>
                <w:rFonts w:ascii="方正书宋_GBK" w:eastAsia="方正书宋_GBK"/>
              </w:rPr>
              <w:t>&lt;15</w:t>
            </w:r>
          </w:p>
        </w:tc>
        <w:tc>
          <w:tcPr>
            <w:tcW w:w="737" w:type="dxa"/>
            <w:vAlign w:val="center"/>
          </w:tcPr>
          <w:p>
            <w:pPr>
              <w:spacing w:line="300" w:lineRule="exact"/>
              <w:jc w:val="center"/>
              <w:rPr>
                <w:rFonts w:ascii="方正书宋_GBK" w:eastAsia="方正书宋_GBK"/>
              </w:rPr>
            </w:pPr>
            <w:r>
              <w:rPr>
                <w:rFonts w:ascii="方正书宋_GBK" w:eastAsia="方正书宋_GBK"/>
              </w:rPr>
              <w:t>&lt;20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病床使用率</w:t>
            </w:r>
            <w:r>
              <w:rPr>
                <w:rFonts w:ascii="方正书宋_GBK" w:eastAsia="方正书宋_GBK"/>
              </w:rPr>
              <w:t>(</w:t>
            </w:r>
            <w:r>
              <w:rPr>
                <w:rFonts w:hint="eastAsia" w:ascii="方正书宋_GBK" w:eastAsia="方正书宋_GBK"/>
              </w:rPr>
              <w:t>个）</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出院者平均住院天数</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834.78</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逐步取消公立医院药品加成，实现基本药物制度乡村卫生机构全覆盖，健全和完善药品和高值医用耗材集中采购制度，缓解百姓</w:t>
            </w:r>
            <w:r>
              <w:rPr>
                <w:rFonts w:ascii="方正书宋_GBK" w:eastAsia="方正书宋_GBK"/>
              </w:rPr>
              <w:t>“</w:t>
            </w:r>
            <w:r>
              <w:rPr>
                <w:rFonts w:hint="eastAsia" w:ascii="方正书宋_GBK" w:eastAsia="方正书宋_GBK"/>
              </w:rPr>
              <w:t>看病难、看病贵</w:t>
            </w:r>
            <w:r>
              <w:rPr>
                <w:rFonts w:ascii="方正书宋_GBK" w:eastAsia="方正书宋_GBK"/>
              </w:rPr>
              <w:t>”</w:t>
            </w:r>
            <w:r>
              <w:rPr>
                <w:rFonts w:hint="eastAsia" w:ascii="方正书宋_GBK" w:eastAsia="方正书宋_GBK"/>
              </w:rPr>
              <w:t>问题。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药占比</w:t>
            </w:r>
          </w:p>
        </w:tc>
        <w:tc>
          <w:tcPr>
            <w:tcW w:w="737" w:type="dxa"/>
            <w:vAlign w:val="center"/>
          </w:tcPr>
          <w:p>
            <w:pPr>
              <w:spacing w:line="300" w:lineRule="exact"/>
              <w:jc w:val="center"/>
              <w:rPr>
                <w:rFonts w:ascii="方正书宋_GBK" w:eastAsia="方正书宋_GBK"/>
              </w:rPr>
            </w:pPr>
            <w:r>
              <w:rPr>
                <w:rFonts w:ascii="方正书宋_GBK" w:eastAsia="方正书宋_GBK"/>
              </w:rPr>
              <w:t>&lt;45%</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c>
          <w:tcPr>
            <w:tcW w:w="737" w:type="dxa"/>
            <w:vAlign w:val="center"/>
          </w:tcPr>
          <w:p>
            <w:pPr>
              <w:spacing w:line="300" w:lineRule="exact"/>
              <w:jc w:val="center"/>
              <w:rPr>
                <w:rFonts w:ascii="方正书宋_GBK" w:eastAsia="方正书宋_GBK"/>
              </w:rPr>
            </w:pPr>
            <w:r>
              <w:rPr>
                <w:rFonts w:ascii="方正书宋_GBK" w:eastAsia="方正书宋_GBK"/>
              </w:rPr>
              <w:t>&lt;55%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药品加成率</w:t>
            </w:r>
          </w:p>
        </w:tc>
        <w:tc>
          <w:tcPr>
            <w:tcW w:w="737" w:type="dxa"/>
            <w:vAlign w:val="center"/>
          </w:tcPr>
          <w:p>
            <w:pPr>
              <w:spacing w:line="300" w:lineRule="exact"/>
              <w:jc w:val="center"/>
              <w:rPr>
                <w:rFonts w:ascii="方正书宋_GBK" w:eastAsia="方正书宋_GBK"/>
              </w:rPr>
            </w:pPr>
            <w:r>
              <w:rPr>
                <w:rFonts w:ascii="方正书宋_GBK" w:eastAsia="方正书宋_GBK"/>
              </w:rPr>
              <w:t>&lt;15%</w:t>
            </w:r>
          </w:p>
        </w:tc>
        <w:tc>
          <w:tcPr>
            <w:tcW w:w="737" w:type="dxa"/>
            <w:vAlign w:val="center"/>
          </w:tcPr>
          <w:p>
            <w:pPr>
              <w:spacing w:line="300" w:lineRule="exact"/>
              <w:jc w:val="center"/>
              <w:rPr>
                <w:rFonts w:ascii="方正书宋_GBK" w:eastAsia="方正书宋_GBK"/>
              </w:rPr>
            </w:pPr>
            <w:r>
              <w:rPr>
                <w:rFonts w:ascii="方正书宋_GBK" w:eastAsia="方正书宋_GBK"/>
              </w:rPr>
              <w:t>&lt;18%</w:t>
            </w:r>
          </w:p>
        </w:tc>
        <w:tc>
          <w:tcPr>
            <w:tcW w:w="737" w:type="dxa"/>
            <w:vAlign w:val="center"/>
          </w:tcPr>
          <w:p>
            <w:pPr>
              <w:spacing w:line="300" w:lineRule="exact"/>
              <w:jc w:val="center"/>
              <w:rPr>
                <w:rFonts w:ascii="方正书宋_GBK" w:eastAsia="方正书宋_GBK"/>
              </w:rPr>
            </w:pPr>
            <w:r>
              <w:rPr>
                <w:rFonts w:ascii="方正书宋_GBK" w:eastAsia="方正书宋_GBK"/>
              </w:rPr>
              <w:t>&lt;20%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基层医疗卫生机构药品零差率实施率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公立医院改革覆盖率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医疗风险分担机制覆盖率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505.2</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坚持计划生育基本国策，提供各类计划生育技术服务，建立计划生育利益导向机制，开展出生人口性别比治理以及流动人口计划生育管理等各项工作。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保持适度的低生育水平，有效保障计划生育家庭生活水平，提高妇女生殖健康水平，降低出生缺陷的发生，有效遏制出生人口性别比偏高问题。</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405.2</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通过实施国家奖扶、特扶等制度，创建幸福家庭等工作，全面提高计划生育家庭的发展能力。</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有效引导群众自觉实行计划生育，加强计划生育家庭的发展能力，提高计划生育家庭的凝聚力及成员幸福感。</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做好出生人口性别比治理工作，加强流动人口计划生育管理，提升基层基础计划生育队伍服务水平。</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流动人口计划生育服务满意率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协助政府开展计划生育群众自治、亲情关爱及幸福工程等工作，动员广大群众自觉参与和实行各项计划生育政策。</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增进广大育龄群众和计生家庭福祉，提高群众自觉实行计划生育的积极性。</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试点地区失独家庭</w:t>
            </w:r>
            <w:r>
              <w:rPr>
                <w:rFonts w:ascii="方正书宋_GBK" w:eastAsia="方正书宋_GBK"/>
              </w:rPr>
              <w:t>“</w:t>
            </w:r>
            <w:r>
              <w:rPr>
                <w:rFonts w:hint="eastAsia" w:ascii="方正书宋_GBK" w:eastAsia="方正书宋_GBK"/>
              </w:rPr>
              <w:t>亲情关爱</w:t>
            </w:r>
            <w:r>
              <w:rPr>
                <w:rFonts w:ascii="方正书宋_GBK" w:eastAsia="方正书宋_GBK"/>
              </w:rPr>
              <w:t>”</w:t>
            </w:r>
            <w:r>
              <w:rPr>
                <w:rFonts w:hint="eastAsia" w:ascii="方正书宋_GBK" w:eastAsia="方正书宋_GBK"/>
              </w:rPr>
              <w:t>帮扶覆盖面</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计划生育基层群众自治村（居）覆盖率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中医药人才培养、中医药信息化建设、中医药文化推广等各项工作，满足各类人民群众享受民族医药服务的需求。</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加强中医药能力建设，提高中医药人员服务水平，有效发挥中医药在医疗保健领域的特色优势。</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培养具有扎实中医药理论功底和较强辩证施治能力的中医临床技术人员，面向基层医疗机构推广中医药适宜技术。</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提高各级各类中医药人才的施治能力。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中医药信息化建设任务完成率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培养优秀中医临床人才数量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构建中医药核心价值体系，开展中医药文化传播与知识普及。</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提升人民群众中医养生保健素养和健康水准。</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中医药文化传播与知识普及活动完成率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培育和建设具有明显中医特色的重点专科，加强中医医疗机构信息化建设。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提高中医药服务水平和救治能力，改善群众接受中医药服务的软硬件环境。</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患者满意度</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建设中医医疗重点专科数量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1549</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拟定卫生计生改革与发展目标、规划，组织指导相关工作开展，承担政务公开和业务宣传工作，加强卫生计生能力建设。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保障卫生计生事业稳定发展。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5" w:hRule="atLeast"/>
          <w:jc w:val="center"/>
        </w:trPr>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开展卫生计生人才培训，组织继续医学教育和适宜技术推广等工作。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提高全市卫生计生人才队伍服务水平和卫生计生机构科研能力。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推广基层医疗适宜技术项数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vAlign w:val="center"/>
          </w:tcPr>
          <w:p>
            <w:pPr>
              <w:spacing w:line="300" w:lineRule="exact"/>
              <w:jc w:val="center"/>
              <w:rPr>
                <w:rFonts w:ascii="方正书宋_GBK" w:eastAsia="方正书宋_GBK"/>
              </w:rPr>
            </w:pP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监督卫生计生相关法律法规落实情况，督办重大卫生计生违法案件，指导和规范卫生计生人员执法行为，坚持计划生育目标管理责任制。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保障卫生计生法律法规的落实，提升卫生计生工作规范化和法制化水平，保障人民群众卫生计生权益。</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职业卫生服务机构考核率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开展卫生计生规划、资源配置、统计、法制、政策研究、宣传教育、舆情监测等工作。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为顺利开展各项卫生计生工作提供有效保障，确保卫生计生事业协调可持续发展。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基层卫生计生服务人员培训结业率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卫生计生宣传教育完成率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1549.00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开展卫生计生信息化、基础设施、装备管理与配置等各项工作。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提高我市卫生健康系统软硬件服务能力。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安全生产事件有效防范</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是</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卫生计生系统软硬件服务能力提升情况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是</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基层医疗卫生机构信息化系统覆盖率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软硬件正常服务情况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是</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基础设施维修改造任务完成率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bl>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各项绩效目标的实现程度及差异性原因分析</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各项绩效目标均按照预期实现。</w:t>
      </w:r>
    </w:p>
    <w:p>
      <w:pPr>
        <w:numPr>
          <w:ilvl w:val="0"/>
          <w:numId w:val="3"/>
        </w:numPr>
        <w:rPr>
          <w:rFonts w:hint="eastAsia" w:ascii="仿宋" w:hAnsi="仿宋" w:eastAsia="仿宋" w:cs="仿宋"/>
          <w:b/>
          <w:bCs/>
          <w:sz w:val="32"/>
          <w:szCs w:val="32"/>
        </w:rPr>
      </w:pPr>
      <w:r>
        <w:rPr>
          <w:rFonts w:hint="eastAsia" w:ascii="仿宋" w:hAnsi="仿宋" w:eastAsia="仿宋" w:cs="仿宋"/>
          <w:b/>
          <w:bCs/>
          <w:sz w:val="32"/>
          <w:szCs w:val="32"/>
        </w:rPr>
        <w:t>存在问题、采取的纠偏措施及改进绩效管理建议</w:t>
      </w:r>
    </w:p>
    <w:p>
      <w:pPr>
        <w:pStyle w:val="4"/>
        <w:shd w:val="clear" w:color="auto" w:fill="FFFFFF"/>
        <w:spacing w:before="0" w:beforeAutospacing="0" w:after="0" w:afterAutospacing="0" w:line="600" w:lineRule="exact"/>
        <w:ind w:left="-315" w:leftChars="-150" w:right="-315" w:rightChars="-150"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目前来看，</w:t>
      </w:r>
      <w:r>
        <w:rPr>
          <w:rFonts w:hint="eastAsia" w:ascii="仿宋" w:hAnsi="仿宋" w:eastAsia="仿宋"/>
          <w:sz w:val="30"/>
          <w:szCs w:val="30"/>
          <w:lang w:eastAsia="zh-CN"/>
        </w:rPr>
        <w:t>预算执行情况总体较好，</w:t>
      </w:r>
      <w:r>
        <w:rPr>
          <w:rFonts w:hint="eastAsia" w:ascii="仿宋" w:hAnsi="仿宋" w:eastAsia="仿宋"/>
          <w:sz w:val="30"/>
          <w:szCs w:val="30"/>
          <w:lang w:val="en-US" w:eastAsia="zh-CN"/>
        </w:rPr>
        <w:t>但仍需进一步加强各方面工作：</w:t>
      </w:r>
    </w:p>
    <w:p>
      <w:pPr>
        <w:pStyle w:val="4"/>
        <w:shd w:val="clear" w:color="auto" w:fill="FFFFFF"/>
        <w:spacing w:before="0" w:beforeAutospacing="0" w:after="0" w:afterAutospacing="0" w:line="600" w:lineRule="exact"/>
        <w:ind w:left="-315" w:leftChars="-150" w:right="-315" w:rightChars="-150" w:firstLine="600" w:firstLineChars="200"/>
        <w:rPr>
          <w:rFonts w:hint="eastAsia" w:ascii="仿宋" w:hAnsi="仿宋" w:eastAsia="仿宋" w:cs="仿宋"/>
          <w:color w:val="000000"/>
          <w:sz w:val="30"/>
          <w:szCs w:val="30"/>
        </w:rPr>
      </w:pPr>
      <w:r>
        <w:rPr>
          <w:rFonts w:hint="eastAsia" w:ascii="仿宋" w:hAnsi="仿宋" w:eastAsia="仿宋" w:cs="仿宋"/>
          <w:sz w:val="30"/>
          <w:szCs w:val="30"/>
        </w:rPr>
        <w:t>1、做好财务科日常工作。</w:t>
      </w:r>
      <w:r>
        <w:rPr>
          <w:rFonts w:hint="eastAsia" w:ascii="仿宋" w:hAnsi="仿宋" w:eastAsia="仿宋" w:cs="仿宋"/>
          <w:color w:val="000000"/>
          <w:sz w:val="30"/>
          <w:szCs w:val="30"/>
        </w:rPr>
        <w:t>认真做好会计报销、工资发放、会计原始凭证、记账凭证的审核、记账、装订、会计档案的整理、归档工作、完成各类财务报表和网络直报等报表工作。</w:t>
      </w:r>
    </w:p>
    <w:p>
      <w:pPr>
        <w:pStyle w:val="4"/>
        <w:shd w:val="clear" w:color="auto" w:fill="FFFFFF"/>
        <w:spacing w:before="0" w:beforeAutospacing="0" w:after="0" w:afterAutospacing="0" w:line="600" w:lineRule="exact"/>
        <w:ind w:left="-315" w:leftChars="-150" w:right="-315" w:rightChars="-15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2、加强内部财务管理工作，采取与外部单位、内部各部门定期核对账目及台帐来确保数据无误，对各部门资金支出进行及时反映和分析等措施。</w:t>
      </w:r>
    </w:p>
    <w:p>
      <w:pPr>
        <w:spacing w:line="600" w:lineRule="exact"/>
        <w:ind w:left="-315" w:leftChars="-150" w:right="-315" w:rightChars="-150"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3、进一步加强卫生计生专项资金管理，按方案要求及时拨付项目单位，并进行会计核算，严格把关，确保项目资金有效落实到位。</w:t>
      </w:r>
    </w:p>
    <w:p>
      <w:pPr>
        <w:spacing w:line="600" w:lineRule="exact"/>
        <w:ind w:left="-315" w:leftChars="-150" w:right="-315" w:rightChars="-150"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4、完成各各项目的绩效考核资金挂钩结算工作。</w:t>
      </w:r>
    </w:p>
    <w:p>
      <w:pPr>
        <w:spacing w:line="600" w:lineRule="exact"/>
        <w:ind w:left="-315" w:leftChars="-150" w:right="-315" w:rightChars="-150" w:firstLine="600" w:firstLineChars="200"/>
        <w:rPr>
          <w:rFonts w:hint="eastAsia" w:ascii="仿宋" w:hAnsi="仿宋" w:eastAsia="仿宋" w:cs="仿宋"/>
          <w:sz w:val="30"/>
          <w:szCs w:val="30"/>
        </w:rPr>
      </w:pPr>
      <w:r>
        <w:rPr>
          <w:rFonts w:hint="eastAsia" w:ascii="仿宋" w:hAnsi="仿宋" w:eastAsia="仿宋" w:cs="仿宋"/>
          <w:color w:val="000000"/>
          <w:sz w:val="30"/>
          <w:szCs w:val="30"/>
          <w:shd w:val="clear" w:color="auto" w:fill="FFFFFF"/>
        </w:rPr>
        <w:t>5、完善一系列资金管理制度。</w:t>
      </w:r>
      <w:r>
        <w:rPr>
          <w:rFonts w:hint="eastAsia" w:ascii="仿宋" w:hAnsi="仿宋" w:eastAsia="仿宋" w:cs="仿宋"/>
          <w:sz w:val="30"/>
          <w:szCs w:val="30"/>
        </w:rPr>
        <w:t>严格实行专项资金开票、经办、审核、审批、记账等职责分离，切实加强专项资金管理，确保做到专款专用。</w:t>
      </w:r>
    </w:p>
    <w:p>
      <w:pPr>
        <w:spacing w:line="600" w:lineRule="exact"/>
        <w:ind w:left="-315" w:leftChars="-150" w:right="-315" w:rightChars="-150" w:firstLine="600" w:firstLineChars="200"/>
        <w:rPr>
          <w:rFonts w:hint="eastAsia" w:ascii="仿宋_GB2312" w:hAnsi="宋体" w:eastAsia="仿宋_GB2312" w:cs="仿宋_GB2312"/>
          <w:color w:val="000000"/>
          <w:sz w:val="31"/>
          <w:szCs w:val="31"/>
          <w:shd w:val="clear" w:color="auto" w:fill="FFFFFF"/>
        </w:rPr>
      </w:pPr>
      <w:r>
        <w:rPr>
          <w:rFonts w:hint="eastAsia" w:ascii="仿宋" w:hAnsi="仿宋" w:eastAsia="仿宋" w:cs="仿宋"/>
          <w:sz w:val="30"/>
          <w:szCs w:val="30"/>
        </w:rPr>
        <w:t>6、做好年底决算报表工作。按照和财政部门的要求，认真完成决算报表工作，并决算公开，保证数据真实有效。</w:t>
      </w:r>
    </w:p>
    <w:p>
      <w:pPr>
        <w:rPr>
          <w:rFonts w:ascii="仿宋" w:hAnsi="仿宋" w:eastAsia="仿宋" w:cs="Times New Roman"/>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其他需要说明的问题</w:t>
      </w:r>
      <w:r>
        <w:rPr>
          <w:rFonts w:hint="eastAsia" w:ascii="仿宋" w:hAnsi="仿宋" w:eastAsia="仿宋" w:cs="仿宋"/>
          <w:b/>
          <w:bCs/>
          <w:sz w:val="32"/>
          <w:szCs w:val="32"/>
          <w:lang w:eastAsia="zh-CN"/>
        </w:rPr>
        <w:t>：无。</w:t>
      </w:r>
    </w:p>
    <w:p>
      <w:pPr>
        <w:snapToGrid w:val="0"/>
        <w:spacing w:line="400" w:lineRule="exact"/>
        <w:ind w:firstLine="480" w:firstLineChars="200"/>
        <w:rPr>
          <w:rFonts w:hint="eastAsia" w:ascii="仿宋_GB2312" w:hAnsi="仿宋" w:eastAsia="仿宋_GB2312"/>
          <w:sz w:val="24"/>
        </w:rPr>
      </w:pPr>
    </w:p>
    <w:p>
      <w:pPr>
        <w:pStyle w:val="5"/>
        <w:numPr>
          <w:ilvl w:val="0"/>
          <w:numId w:val="0"/>
        </w:numPr>
        <w:rPr>
          <w:rFonts w:hint="eastAsia"/>
        </w:rPr>
      </w:pPr>
    </w:p>
    <w:p>
      <w:pPr>
        <w:pStyle w:val="5"/>
        <w:rPr>
          <w:rFonts w:hint="eastAsia"/>
          <w:lang w:eastAsia="zh-CN"/>
        </w:rPr>
      </w:pPr>
    </w:p>
    <w:p>
      <w:pPr>
        <w:pStyle w:val="5"/>
        <w:rPr>
          <w:rFonts w:hint="eastAsia"/>
          <w:lang w:eastAsia="zh-CN"/>
        </w:rPr>
      </w:pPr>
    </w:p>
    <w:p>
      <w:pPr>
        <w:pStyle w:val="8"/>
        <w:numPr>
          <w:ilvl w:val="0"/>
          <w:numId w:val="0"/>
        </w:numPr>
        <w:spacing w:line="600" w:lineRule="exact"/>
        <w:ind w:left="640" w:leftChars="0" w:right="-315" w:rightChars="-150"/>
        <w:rPr>
          <w:rFonts w:hint="default" w:ascii="仿宋" w:hAnsi="仿宋" w:eastAsia="仿宋" w:cs="仿宋"/>
          <w:b/>
          <w:bCs/>
          <w:i w:val="0"/>
          <w:caps w:val="0"/>
          <w:color w:val="000000"/>
          <w:spacing w:val="0"/>
          <w:sz w:val="32"/>
          <w:szCs w:val="32"/>
          <w:shd w:val="clear" w:fill="FFFFFF"/>
          <w:lang w:val="en-US" w:eastAsia="zh-CN"/>
        </w:rPr>
      </w:pPr>
    </w:p>
    <w:p>
      <w:pPr>
        <w:pStyle w:val="8"/>
        <w:numPr>
          <w:ilvl w:val="0"/>
          <w:numId w:val="0"/>
        </w:numPr>
        <w:spacing w:line="600" w:lineRule="exact"/>
        <w:ind w:right="-315" w:rightChars="-150"/>
        <w:jc w:val="left"/>
        <w:rPr>
          <w:rFonts w:hint="eastAsia" w:ascii="仿宋" w:hAnsi="仿宋" w:eastAsia="仿宋" w:cs="仿宋"/>
          <w:b/>
          <w:bCs/>
          <w:i w:val="0"/>
          <w:caps w:val="0"/>
          <w:color w:val="000000"/>
          <w:spacing w:val="0"/>
          <w:sz w:val="32"/>
          <w:szCs w:val="32"/>
          <w:shd w:val="clear" w:fill="FFFFFF"/>
          <w:lang w:val="en-US" w:eastAsia="zh-CN"/>
        </w:rPr>
      </w:pPr>
    </w:p>
    <w:p>
      <w:pPr>
        <w:pStyle w:val="8"/>
        <w:numPr>
          <w:ilvl w:val="0"/>
          <w:numId w:val="0"/>
        </w:numPr>
        <w:spacing w:line="600" w:lineRule="exact"/>
        <w:ind w:right="-315" w:rightChars="-150"/>
        <w:rPr>
          <w:rFonts w:hint="eastAsia" w:ascii="仿宋" w:hAnsi="仿宋" w:eastAsia="仿宋" w:cs="仿宋"/>
          <w:b/>
          <w:bCs/>
          <w:i w:val="0"/>
          <w:caps w:val="0"/>
          <w:color w:val="000000"/>
          <w:spacing w:val="0"/>
          <w:sz w:val="32"/>
          <w:szCs w:val="32"/>
          <w:shd w:val="clear" w:fill="FFFFFF"/>
          <w:lang w:val="en-US" w:eastAsia="zh-CN"/>
        </w:rPr>
      </w:pPr>
    </w:p>
    <w:p>
      <w:pPr>
        <w:pStyle w:val="8"/>
        <w:spacing w:line="600" w:lineRule="exact"/>
        <w:ind w:left="-315" w:leftChars="-150" w:right="-315" w:rightChars="-150" w:firstLine="600" w:firstLineChars="200"/>
        <w:rPr>
          <w:rFonts w:hint="eastAsia" w:ascii="仿宋" w:hAnsi="仿宋" w:eastAsia="仿宋" w:cs="仿宋"/>
          <w:sz w:val="30"/>
          <w:szCs w:val="30"/>
        </w:rPr>
      </w:pPr>
    </w:p>
    <w:p>
      <w:pPr>
        <w:pStyle w:val="8"/>
        <w:spacing w:line="600" w:lineRule="exact"/>
        <w:ind w:left="-315" w:leftChars="-150" w:right="-315" w:rightChars="-150" w:firstLine="600" w:firstLineChars="200"/>
        <w:rPr>
          <w:rFonts w:hint="eastAsia" w:ascii="仿宋" w:hAnsi="仿宋" w:eastAsia="仿宋" w:cs="仿宋"/>
          <w:sz w:val="30"/>
          <w:szCs w:val="30"/>
        </w:rPr>
      </w:pPr>
    </w:p>
    <w:p>
      <w:pPr>
        <w:pStyle w:val="8"/>
        <w:spacing w:line="600" w:lineRule="exact"/>
        <w:ind w:left="-315" w:leftChars="-150" w:right="-315" w:rightChars="-150" w:firstLine="600" w:firstLineChars="200"/>
        <w:rPr>
          <w:rFonts w:hint="eastAsia" w:ascii="仿宋" w:hAnsi="仿宋" w:eastAsia="仿宋" w:cs="仿宋"/>
          <w:sz w:val="30"/>
          <w:szCs w:val="30"/>
        </w:rPr>
      </w:pPr>
    </w:p>
    <w:p>
      <w:pPr>
        <w:pStyle w:val="8"/>
        <w:spacing w:line="600" w:lineRule="exact"/>
        <w:ind w:left="-315" w:leftChars="-150" w:right="-315" w:rightChars="-150" w:firstLine="600" w:firstLineChars="200"/>
        <w:rPr>
          <w:rFonts w:hint="eastAsia" w:ascii="仿宋" w:hAnsi="仿宋" w:eastAsia="仿宋" w:cs="仿宋"/>
          <w:sz w:val="30"/>
          <w:szCs w:val="30"/>
        </w:rPr>
      </w:pPr>
    </w:p>
    <w:p>
      <w:pPr>
        <w:pStyle w:val="2"/>
        <w:rPr>
          <w:rFonts w:hint="default" w:eastAsia="仿宋_GB2312"/>
          <w:lang w:val="en-US" w:eastAsia="zh-CN"/>
        </w:rPr>
      </w:pPr>
    </w:p>
    <w:p>
      <w:pPr>
        <w:pStyle w:val="2"/>
        <w:rPr>
          <w:rFonts w:hint="eastAsia" w:ascii="仿宋" w:hAnsi="仿宋" w:eastAsia="仿宋" w:cs="仿宋"/>
          <w:b/>
          <w:bCs/>
          <w:sz w:val="32"/>
          <w:szCs w:val="32"/>
        </w:rPr>
      </w:pPr>
    </w:p>
    <w:p>
      <w:pPr>
        <w:pStyle w:val="2"/>
        <w:numPr>
          <w:ilvl w:val="0"/>
          <w:numId w:val="0"/>
        </w:numPr>
      </w:pPr>
    </w:p>
    <w:p>
      <w:pPr>
        <w:pStyle w:val="2"/>
        <w:rPr>
          <w:rFonts w:hint="default"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numPr>
          <w:ilvl w:val="0"/>
          <w:numId w:val="0"/>
        </w:numPr>
        <w:spacing w:before="0" w:after="0" w:line="240" w:lineRule="auto"/>
        <w:ind w:right="0" w:rightChars="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20886"/>
    <w:multiLevelType w:val="singleLevel"/>
    <w:tmpl w:val="24620886"/>
    <w:lvl w:ilvl="0" w:tentative="0">
      <w:start w:val="5"/>
      <w:numFmt w:val="chineseCounting"/>
      <w:suff w:val="nothing"/>
      <w:lvlText w:val="%1、"/>
      <w:lvlJc w:val="left"/>
      <w:rPr>
        <w:rFonts w:hint="eastAsia"/>
      </w:rPr>
    </w:lvl>
  </w:abstractNum>
  <w:abstractNum w:abstractNumId="1">
    <w:nsid w:val="4163F070"/>
    <w:multiLevelType w:val="singleLevel"/>
    <w:tmpl w:val="4163F070"/>
    <w:lvl w:ilvl="0" w:tentative="0">
      <w:start w:val="5"/>
      <w:numFmt w:val="decimal"/>
      <w:suff w:val="nothing"/>
      <w:lvlText w:val="%1、"/>
      <w:lvlJc w:val="left"/>
    </w:lvl>
  </w:abstractNum>
  <w:abstractNum w:abstractNumId="2">
    <w:nsid w:val="58D1D9B3"/>
    <w:multiLevelType w:val="singleLevel"/>
    <w:tmpl w:val="58D1D9B3"/>
    <w:lvl w:ilvl="0" w:tentative="0">
      <w:start w:val="1"/>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compat>
    <w:useFELayout/>
    <w:splitPgBreakAndParaMark/>
    <w:compatSetting w:name="compatibilityMode" w:uri="http://schemas.microsoft.com/office/word" w:val="12"/>
  </w:compat>
  <w:rsids>
    <w:rsidRoot w:val="00000000"/>
    <w:rsid w:val="240068F2"/>
    <w:rsid w:val="449879D2"/>
    <w:rsid w:val="60805558"/>
    <w:rsid w:val="669C0A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sz w:val="21"/>
      <w:szCs w:val="22"/>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ody Text Indent"/>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left="200" w:leftChars="200" w:firstLine="420"/>
    </w:pPr>
    <w:rPr>
      <w:rFonts w:ascii="Times New Roman"/>
    </w:rPr>
  </w:style>
  <w:style w:type="paragraph" w:customStyle="1" w:styleId="8">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2020-12-20T11:22:00Z</dcterms:created>
  <dc:creator>Administrator</dc:creator>
  <cp:lastModifiedBy>不二臣</cp:lastModifiedBy>
  <cp:lastPrinted>2020-12-20T11:28:00Z</cp:lastPrinted>
  <dcterms:modified xsi:type="dcterms:W3CDTF">2025-04-08T08:50:28Z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B3A76B73DF664F9C94FFAD60624A02F5</vt:lpwstr>
  </property>
</Properties>
</file>