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Times New Roman"/>
          <w:sz w:val="32"/>
          <w:szCs w:val="32"/>
        </w:rPr>
      </w:pPr>
      <w:bookmarkStart w:id="0" w:name="_GoBack"/>
      <w:bookmarkEnd w:id="0"/>
      <w:r>
        <w:rPr>
          <w:rFonts w:hint="eastAsia" w:ascii="宋体" w:hAnsi="宋体" w:cs="宋体"/>
          <w:b/>
          <w:bCs/>
          <w:sz w:val="44"/>
          <w:szCs w:val="44"/>
        </w:rPr>
        <w:t>部门整体支出绩效评价</w:t>
      </w:r>
      <w:r>
        <w:rPr>
          <w:rFonts w:hint="eastAsia" w:ascii="宋体" w:hAnsi="宋体" w:cs="宋体"/>
          <w:b/>
          <w:bCs/>
          <w:color w:val="000000"/>
          <w:kern w:val="0"/>
          <w:sz w:val="44"/>
          <w:szCs w:val="44"/>
          <w:shd w:val="clear" w:color="auto" w:fill="FFFFFF"/>
        </w:rPr>
        <w:t>指标体系评分表</w:t>
      </w:r>
    </w:p>
    <w:tbl>
      <w:tblPr>
        <w:tblStyle w:val="8"/>
        <w:tblW w:w="98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765"/>
        <w:gridCol w:w="990"/>
        <w:gridCol w:w="3975"/>
        <w:gridCol w:w="255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95" w:type="dxa"/>
            <w:vMerge w:val="restart"/>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一级指标</w:t>
            </w:r>
          </w:p>
        </w:tc>
        <w:tc>
          <w:tcPr>
            <w:tcW w:w="765" w:type="dxa"/>
            <w:vMerge w:val="restart"/>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二级指标</w:t>
            </w:r>
          </w:p>
        </w:tc>
        <w:tc>
          <w:tcPr>
            <w:tcW w:w="4965" w:type="dxa"/>
            <w:gridSpan w:val="2"/>
            <w:tcBorders>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三级指标</w:t>
            </w:r>
          </w:p>
        </w:tc>
        <w:tc>
          <w:tcPr>
            <w:tcW w:w="2550" w:type="dxa"/>
            <w:vMerge w:val="restart"/>
            <w:tcBorders>
              <w:left w:val="single" w:color="auto" w:sz="4" w:space="0"/>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评分标准</w:t>
            </w:r>
          </w:p>
        </w:tc>
        <w:tc>
          <w:tcPr>
            <w:tcW w:w="765" w:type="dxa"/>
            <w:vMerge w:val="restart"/>
            <w:tcBorders>
              <w:left w:val="single" w:color="auto" w:sz="4" w:space="0"/>
              <w:right w:val="single" w:color="auto" w:sz="4" w:space="0"/>
            </w:tcBorders>
            <w:vAlign w:val="center"/>
          </w:tcPr>
          <w:p>
            <w:pPr>
              <w:widowControl/>
              <w:spacing w:line="240" w:lineRule="exact"/>
              <w:jc w:val="left"/>
              <w:rPr>
                <w:rFonts w:cs="Times New Roman"/>
                <w:b/>
                <w:bCs/>
              </w:rPr>
            </w:pPr>
            <w:r>
              <w:rPr>
                <w:rFonts w:hint="eastAsia" w:ascii="仿宋_GB2312" w:hAnsi="新宋体" w:eastAsia="仿宋_GB2312" w:cs="仿宋_GB2312"/>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95" w:type="dxa"/>
            <w:vMerge w:val="continue"/>
            <w:vAlign w:val="center"/>
          </w:tcPr>
          <w:p>
            <w:pPr>
              <w:rPr>
                <w:rFonts w:ascii="宋体" w:cs="Times New Roman"/>
              </w:rPr>
            </w:pPr>
          </w:p>
        </w:tc>
        <w:tc>
          <w:tcPr>
            <w:tcW w:w="765" w:type="dxa"/>
            <w:vMerge w:val="continue"/>
            <w:vAlign w:val="center"/>
          </w:tcPr>
          <w:p>
            <w:pPr>
              <w:rPr>
                <w:rFonts w:ascii="宋体" w:cs="Times New Roman"/>
              </w:rPr>
            </w:pPr>
          </w:p>
        </w:tc>
        <w:tc>
          <w:tcPr>
            <w:tcW w:w="990" w:type="dxa"/>
            <w:tcBorders>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指标名称</w:t>
            </w:r>
          </w:p>
        </w:tc>
        <w:tc>
          <w:tcPr>
            <w:tcW w:w="3975" w:type="dxa"/>
            <w:tcBorders>
              <w:left w:val="single" w:color="auto" w:sz="4" w:space="0"/>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指标解释说明</w:t>
            </w:r>
          </w:p>
        </w:tc>
        <w:tc>
          <w:tcPr>
            <w:tcW w:w="2550" w:type="dxa"/>
            <w:vMerge w:val="continue"/>
            <w:tcBorders>
              <w:left w:val="single" w:color="auto" w:sz="4" w:space="0"/>
              <w:right w:val="single" w:color="auto" w:sz="4" w:space="0"/>
            </w:tcBorders>
            <w:vAlign w:val="center"/>
          </w:tcPr>
          <w:p>
            <w:pPr>
              <w:rPr>
                <w:rFonts w:ascii="宋体" w:cs="Times New Roman"/>
              </w:rPr>
            </w:pPr>
          </w:p>
        </w:tc>
        <w:tc>
          <w:tcPr>
            <w:tcW w:w="765" w:type="dxa"/>
            <w:vMerge w:val="continue"/>
            <w:tcBorders>
              <w:left w:val="single" w:color="auto" w:sz="4" w:space="0"/>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投入（</w:t>
            </w:r>
            <w:r>
              <w:rPr>
                <w:rFonts w:ascii="仿宋_GB2312" w:hAnsi="新宋体" w:eastAsia="仿宋_GB2312" w:cs="仿宋_GB2312"/>
                <w:kern w:val="0"/>
              </w:rPr>
              <w:t>10</w:t>
            </w:r>
            <w:r>
              <w:rPr>
                <w:rFonts w:hint="eastAsia"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绩效目标设定情况</w:t>
            </w:r>
          </w:p>
          <w:p>
            <w:pPr>
              <w:widowControl/>
              <w:spacing w:line="240" w:lineRule="exact"/>
              <w:jc w:val="left"/>
              <w:rPr>
                <w:rFonts w:cs="Times New Roman"/>
                <w:color w:val="FF0000"/>
              </w:rPr>
            </w:pP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职责明确（</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部门的职责设定是否符合“三定”方案中所赋予的职责，用以反映和评价部门工作的目的性与计划性。</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活动合规性（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部门的活动是否在职责范围之内并符合部门中长期规划，用以反映和评价部门活动目标与部门履职、年度工作任务的相符性情况。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部门活动的设定在部门所确定的职责范围之内；</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部门活动符合市委、市政府的发展规划及本部门的年度工作安排与发展规划。</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活动合理性（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部门所设立的活动是否明确合理、活动的关键性指标设置是否可衡量，用以反映和评价部门活动目标设定的合理性。</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活动目标的设定是可量化的，可通过清晰、可衡量的关键指标值予以体现；</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在活动目标设定时，将关键指标明细分解为具体的达成目标与工作任务。</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预算配置情况</w:t>
            </w:r>
            <w:r>
              <w:rPr>
                <w:rFonts w:ascii="仿宋_GB2312" w:hAnsi="新宋体" w:eastAsia="仿宋_GB2312" w:cs="仿宋_GB2312"/>
                <w:kern w:val="0"/>
              </w:rPr>
              <w:t>(5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部门本年度实际在职人员数与编制数的比率，用以反映和评价部门对人员成本的控制程度。</w:t>
            </w:r>
          </w:p>
          <w:p>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（在职人员数</w:t>
            </w:r>
            <w:r>
              <w:rPr>
                <w:rFonts w:ascii="仿宋_GB2312" w:hAnsi="新宋体" w:eastAsia="仿宋_GB2312" w:cs="仿宋_GB2312"/>
                <w:kern w:val="0"/>
              </w:rPr>
              <w:t>/</w:t>
            </w:r>
            <w:r>
              <w:rPr>
                <w:rFonts w:hint="eastAsia" w:ascii="仿宋_GB2312" w:hAnsi="新宋体" w:eastAsia="仿宋_GB2312" w:cs="仿宋_GB2312"/>
                <w:kern w:val="0"/>
              </w:rPr>
              <w:t>编制数）×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在职人员数：部门实际在职人数，以财政部确定的部门决算编制口径为准，由编制部门和人劳部门批复同意的临聘人员除外。</w:t>
            </w:r>
          </w:p>
          <w:p>
            <w:pPr>
              <w:widowControl/>
              <w:spacing w:line="240" w:lineRule="exact"/>
              <w:jc w:val="left"/>
              <w:rPr>
                <w:rFonts w:cs="Times New Roman"/>
              </w:rPr>
            </w:pPr>
            <w:r>
              <w:rPr>
                <w:rFonts w:hint="eastAsia" w:ascii="仿宋_GB2312" w:hAnsi="新宋体" w:eastAsia="仿宋_GB2312" w:cs="仿宋_GB2312"/>
                <w:kern w:val="0"/>
              </w:rPr>
              <w:t>编制数：机构编制部门核定批复的部门人员编制数。</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在职人员控制率小于或等于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在职人员控制率大于或等于</w:t>
            </w:r>
            <w:r>
              <w:rPr>
                <w:rFonts w:ascii="仿宋_GB2312" w:hAnsi="新宋体" w:eastAsia="仿宋_GB2312" w:cs="仿宋_GB2312"/>
                <w:kern w:val="0"/>
              </w:rPr>
              <w:t>115%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100%-115%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（在职人员控制率）－某部门在职人员控制率</w:t>
            </w:r>
            <w:r>
              <w:rPr>
                <w:rFonts w:ascii="仿宋_GB2312" w:hAnsi="新宋体" w:eastAsia="仿宋_GB2312" w:cs="仿宋_GB2312"/>
                <w:kern w:val="0"/>
              </w:rPr>
              <w:t>]/[max</w:t>
            </w:r>
            <w:r>
              <w:rPr>
                <w:rFonts w:hint="eastAsia" w:ascii="仿宋_GB2312" w:hAnsi="新宋体" w:eastAsia="仿宋_GB2312" w:cs="仿宋_GB2312"/>
                <w:kern w:val="0"/>
              </w:rPr>
              <w:t>（在职人员控制率）－</w:t>
            </w:r>
            <w:r>
              <w:rPr>
                <w:rFonts w:ascii="仿宋_GB2312" w:hAnsi="新宋体" w:eastAsia="仿宋_GB2312" w:cs="仿宋_GB2312"/>
                <w:kern w:val="0"/>
              </w:rPr>
              <w:t>min</w:t>
            </w: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795" w:type="dxa"/>
            <w:vMerge w:val="restart"/>
            <w:vAlign w:val="center"/>
          </w:tcPr>
          <w:p>
            <w:pPr>
              <w:spacing w:line="240" w:lineRule="exact"/>
              <w:rPr>
                <w:rFonts w:ascii="宋体" w:cs="Times New Roman"/>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部门本年度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预算数与上年度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预算数的变动比率，用以反映和考核部门对控制重点行政成本的努力程度。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ascii="仿宋" w:hAnsi="仿宋" w:eastAsia="仿宋" w:cs="仿宋"/>
                <w:color w:val="000000"/>
                <w:kern w:val="0"/>
              </w:rPr>
              <w:t>=[</w:t>
            </w:r>
            <w:r>
              <w:rPr>
                <w:rFonts w:hint="eastAsia" w:ascii="仿宋" w:hAnsi="仿宋" w:eastAsia="仿宋" w:cs="仿宋"/>
                <w:color w:val="000000"/>
                <w:kern w:val="0"/>
              </w:rPr>
              <w:t>（本年度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总额</w:t>
            </w:r>
            <w:r>
              <w:rPr>
                <w:rFonts w:ascii="仿宋" w:hAnsi="仿宋" w:eastAsia="仿宋" w:cs="仿宋"/>
                <w:color w:val="000000"/>
                <w:kern w:val="0"/>
              </w:rPr>
              <w:t>-</w:t>
            </w:r>
            <w:r>
              <w:rPr>
                <w:rFonts w:hint="eastAsia" w:ascii="仿宋" w:hAnsi="仿宋" w:eastAsia="仿宋" w:cs="仿宋"/>
                <w:color w:val="000000"/>
                <w:kern w:val="0"/>
              </w:rPr>
              <w:t>上年度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总额）</w:t>
            </w:r>
            <w:r>
              <w:rPr>
                <w:rFonts w:ascii="仿宋" w:hAnsi="仿宋" w:eastAsia="仿宋" w:cs="仿宋"/>
                <w:color w:val="000000"/>
                <w:kern w:val="0"/>
              </w:rPr>
              <w:t>/</w:t>
            </w:r>
            <w:r>
              <w:rPr>
                <w:rFonts w:hint="eastAsia" w:ascii="仿宋" w:hAnsi="仿宋" w:eastAsia="仿宋" w:cs="仿宋"/>
                <w:color w:val="000000"/>
                <w:kern w:val="0"/>
              </w:rPr>
              <w:t>上年度</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总额</w:t>
            </w:r>
            <w:r>
              <w:rPr>
                <w:rFonts w:ascii="仿宋" w:hAnsi="仿宋" w:eastAsia="仿宋" w:cs="仿宋"/>
                <w:color w:val="000000"/>
                <w:kern w:val="0"/>
              </w:rPr>
              <w:t>]</w:t>
            </w:r>
            <w:r>
              <w:rPr>
                <w:rFonts w:hint="eastAsia" w:ascii="仿宋" w:hAnsi="仿宋" w:eastAsia="仿宋" w:cs="仿宋"/>
                <w:color w:val="000000"/>
                <w:kern w:val="0"/>
              </w:rPr>
              <w:t>×</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：年度预算安排的因公出国（境）费、公务车辆购置及运行费和公务招待费。</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小于或等于</w:t>
            </w:r>
            <w:r>
              <w:rPr>
                <w:rFonts w:ascii="仿宋_GB2312" w:hAnsi="新宋体" w:eastAsia="仿宋_GB2312" w:cs="仿宋_GB2312"/>
                <w:kern w:val="0"/>
              </w:rPr>
              <w:t>-5%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-5%-10%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lang w:eastAsia="zh-CN"/>
              </w:rPr>
              <w:t>“三公”经费</w:t>
            </w:r>
            <w:r>
              <w:rPr>
                <w:rFonts w:hint="eastAsia" w:ascii="仿宋" w:hAnsi="仿宋" w:eastAsia="仿宋" w:cs="仿宋"/>
                <w:color w:val="000000"/>
                <w:kern w:val="0"/>
              </w:rPr>
              <w:t>变动率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重点支出安排率（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rPr>
              <w:t>=</w:t>
            </w:r>
            <w:r>
              <w:rPr>
                <w:rFonts w:hint="eastAsia" w:ascii="仿宋" w:hAnsi="仿宋" w:eastAsia="仿宋" w:cs="仿宋"/>
                <w:color w:val="000000"/>
                <w:kern w:val="0"/>
              </w:rPr>
              <w:t>（重点项目支出</w:t>
            </w:r>
            <w:r>
              <w:rPr>
                <w:rFonts w:ascii="仿宋" w:hAnsi="仿宋" w:eastAsia="仿宋" w:cs="仿宋"/>
                <w:color w:val="000000"/>
                <w:kern w:val="0"/>
              </w:rPr>
              <w:t>/</w:t>
            </w:r>
            <w:r>
              <w:rPr>
                <w:rFonts w:hint="eastAsia" w:ascii="仿宋" w:hAnsi="仿宋" w:eastAsia="仿宋" w:cs="仿宋"/>
                <w:color w:val="000000"/>
                <w:kern w:val="0"/>
              </w:rPr>
              <w:t>项目总支出）×</w:t>
            </w:r>
            <w:r>
              <w:rPr>
                <w:rFonts w:ascii="仿宋" w:hAnsi="仿宋" w:eastAsia="仿宋" w:cs="仿宋"/>
                <w:color w:val="000000"/>
                <w:kern w:val="0"/>
              </w:rPr>
              <w:t>100%</w:t>
            </w:r>
            <w:r>
              <w:rPr>
                <w:rFonts w:hint="eastAsia" w:ascii="仿宋" w:hAnsi="仿宋" w:eastAsia="仿宋" w:cs="仿宋"/>
                <w:color w:val="000000"/>
                <w:kern w:val="0"/>
              </w:rPr>
              <w:t>。</w:t>
            </w:r>
            <w:r>
              <w:rPr>
                <w:rFonts w:ascii="仿宋" w:hAnsi="仿宋" w:eastAsia="仿宋" w:cs="Times New Roman"/>
                <w:color w:val="000000"/>
                <w:kern w:val="0"/>
              </w:rPr>
              <w:br w:type="textWrapping"/>
            </w:r>
            <w:r>
              <w:rPr>
                <w:rFonts w:hint="eastAsia" w:ascii="仿宋" w:hAnsi="仿宋" w:eastAsia="仿宋" w:cs="仿宋"/>
                <w:color w:val="000000"/>
                <w:kern w:val="0"/>
              </w:rPr>
              <w:t>重点项目支出：部门（单位）年度预算安排的，与本部门履职和发展密切相关、具有明显社会和经济影响、党委政府关心或社会比较关注的项目支出总额。</w:t>
            </w:r>
            <w:r>
              <w:rPr>
                <w:rFonts w:ascii="仿宋" w:hAnsi="仿宋" w:eastAsia="仿宋" w:cs="Times New Roman"/>
                <w:color w:val="000000"/>
                <w:kern w:val="0"/>
              </w:rPr>
              <w:br w:type="textWrapping"/>
            </w:r>
            <w:r>
              <w:rPr>
                <w:rFonts w:hint="eastAsia" w:ascii="仿宋" w:hAnsi="仿宋" w:eastAsia="仿宋" w:cs="仿宋"/>
                <w:color w:val="000000"/>
                <w:kern w:val="0"/>
              </w:rPr>
              <w:t>项目总支出：部门（单位）年度预算安排的项目支出总额。</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重点支出安排率</w:t>
            </w:r>
            <w:r>
              <w:rPr>
                <w:rFonts w:hint="eastAsia" w:ascii="仿宋_GB2312" w:hAnsi="新宋体" w:eastAsia="仿宋_GB2312" w:cs="仿宋_GB2312"/>
                <w:kern w:val="0"/>
              </w:rPr>
              <w:t>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重点支出安排率</w:t>
            </w:r>
            <w:r>
              <w:rPr>
                <w:rFonts w:hint="eastAsia" w:ascii="仿宋_GB2312" w:hAnsi="新宋体" w:eastAsia="仿宋_GB2312" w:cs="仿宋_GB2312"/>
                <w:kern w:val="0"/>
              </w:rPr>
              <w:t>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 w:hAnsi="仿宋" w:eastAsia="仿宋" w:cs="仿宋"/>
                <w:color w:val="000000"/>
                <w:kern w:val="0"/>
              </w:rPr>
              <w:t>重点支出安排率</w:t>
            </w:r>
            <w:r>
              <w:rPr>
                <w:rFonts w:hint="eastAsia" w:ascii="仿宋_GB2312" w:hAnsi="新宋体" w:eastAsia="仿宋_GB2312" w:cs="仿宋_GB2312"/>
                <w:kern w:val="0"/>
              </w:rPr>
              <w:t>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w:t>
            </w:r>
            <w:r>
              <w:rPr>
                <w:rFonts w:hint="eastAsia" w:ascii="仿宋" w:hAnsi="仿宋" w:eastAsia="仿宋" w:cs="仿宋"/>
                <w:color w:val="000000"/>
                <w:kern w:val="0"/>
              </w:rPr>
              <w:t>重点支出安排率</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rPr>
                <w:rFonts w:hint="eastAsia" w:eastAsia="宋体"/>
                <w:lang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过程</w:t>
            </w:r>
            <w:r>
              <w:rPr>
                <w:rFonts w:ascii="仿宋_GB2312" w:hAnsi="新宋体" w:eastAsia="仿宋_GB2312" w:cs="仿宋_GB2312"/>
                <w:kern w:val="0"/>
              </w:rPr>
              <w:t>(45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预算执行情况</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通过对部门本年度预算完成数与预算数的比较，反映和评价部门预算的完成程度。</w:t>
            </w:r>
          </w:p>
          <w:p>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（预算完成数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预算完成率大于或等于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预算完成率小于或等于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预算完成率在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]/[max</w:t>
            </w:r>
            <w:r>
              <w:rPr>
                <w:rFonts w:hint="eastAsia" w:ascii="仿宋_GB2312" w:hAnsi="新宋体" w:eastAsia="仿宋_GB2312" w:cs="仿宋_GB2312"/>
                <w:kern w:val="0"/>
              </w:rPr>
              <w:t>（预算完成率）－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部门本年度预算调整数与预算数的比率，用以反映和评价部门预算的调整程度。</w:t>
            </w:r>
          </w:p>
          <w:p>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（预算调整数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预算调整率等于</w:t>
            </w:r>
            <w:r>
              <w:rPr>
                <w:rFonts w:ascii="仿宋_GB2312" w:hAnsi="新宋体" w:eastAsia="仿宋_GB2312" w:cs="仿宋_GB2312"/>
                <w:kern w:val="0"/>
              </w:rPr>
              <w:t>0</w:t>
            </w:r>
            <w:r>
              <w:rPr>
                <w:rFonts w:hint="eastAsia" w:ascii="仿宋_GB2312" w:hAnsi="新宋体" w:eastAsia="仿宋_GB2312" w:cs="仿宋_GB2312"/>
                <w:kern w:val="0"/>
              </w:rPr>
              <w:t>的，得满分；</w:t>
            </w:r>
            <w:r>
              <w:rPr>
                <w:rFonts w:ascii="仿宋_GB2312" w:hAnsi="新宋体" w:eastAsia="仿宋_GB2312" w:cs="仿宋_GB2312"/>
                <w:kern w:val="0"/>
              </w:rPr>
              <w:t xml:space="preserve"> </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预算调整率大于或等于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预算调整率在</w:t>
            </w:r>
            <w:r>
              <w:rPr>
                <w:rFonts w:ascii="仿宋_GB2312" w:hAnsi="新宋体" w:eastAsia="仿宋_GB2312" w:cs="仿宋_GB2312"/>
                <w:kern w:val="0"/>
              </w:rPr>
              <w:t>0-10%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某部门预算调整率］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-min</w:t>
            </w:r>
            <w:r>
              <w:rPr>
                <w:rFonts w:hint="eastAsia" w:ascii="仿宋_GB2312" w:hAnsi="新宋体" w:eastAsia="仿宋_GB2312" w:cs="仿宋_GB2312"/>
                <w:kern w:val="0"/>
              </w:rPr>
              <w:t>（预算调整率）］×该指标分值。</w:t>
            </w:r>
          </w:p>
        </w:tc>
        <w:tc>
          <w:tcPr>
            <w:tcW w:w="765" w:type="dxa"/>
            <w:tcBorders>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支付进度率</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部门年度支付数与年度任务数的比率，用以反映和评价部门预算执行的及时和均衡程度。</w:t>
            </w:r>
          </w:p>
          <w:p>
            <w:pPr>
              <w:widowControl/>
              <w:spacing w:line="240" w:lineRule="exact"/>
              <w:jc w:val="left"/>
              <w:rPr>
                <w:rFonts w:cs="Times New Roman"/>
              </w:rPr>
            </w:pPr>
            <w:r>
              <w:rPr>
                <w:rFonts w:hint="eastAsia" w:ascii="仿宋_GB2312" w:hAnsi="新宋体" w:eastAsia="仿宋_GB2312" w:cs="仿宋_GB2312"/>
                <w:kern w:val="0"/>
              </w:rPr>
              <w:t>支付进度率</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按年度的执行情况进行打分。得分</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年度任务数×该指标分值。</w:t>
            </w:r>
          </w:p>
          <w:p>
            <w:pPr>
              <w:widowControl/>
              <w:spacing w:line="240" w:lineRule="exact"/>
              <w:jc w:val="left"/>
              <w:rPr>
                <w:rFonts w:cs="Times New Roman"/>
              </w:rPr>
            </w:pPr>
          </w:p>
        </w:tc>
        <w:tc>
          <w:tcPr>
            <w:tcW w:w="765" w:type="dxa"/>
            <w:tcBorders>
              <w:left w:val="single" w:color="auto" w:sz="4" w:space="0"/>
            </w:tcBorders>
            <w:vAlign w:val="center"/>
          </w:tcPr>
          <w:p>
            <w:pPr>
              <w:widowControl/>
              <w:spacing w:line="240" w:lineRule="exact"/>
              <w:jc w:val="center"/>
            </w:pP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通过对部门本年度结转结余总额与支出预算数的比较，反映和评价部门对本年度结转结余资金的实际控制程度。</w:t>
            </w:r>
          </w:p>
          <w:p>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（结转结余总额</w:t>
            </w:r>
            <w:r>
              <w:rPr>
                <w:rFonts w:ascii="仿宋_GB2312" w:hAnsi="新宋体" w:eastAsia="仿宋_GB2312" w:cs="仿宋_GB2312"/>
                <w:kern w:val="0"/>
              </w:rPr>
              <w:t>/</w:t>
            </w:r>
            <w:r>
              <w:rPr>
                <w:rFonts w:hint="eastAsia" w:ascii="仿宋_GB2312" w:hAnsi="新宋体" w:eastAsia="仿宋_GB2312" w:cs="仿宋_GB2312"/>
                <w:kern w:val="0"/>
              </w:rPr>
              <w:t>支出预算数）×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结转结余率等于</w:t>
            </w:r>
            <w:r>
              <w:rPr>
                <w:rFonts w:ascii="仿宋_GB2312" w:hAnsi="新宋体" w:eastAsia="仿宋_GB2312" w:cs="仿宋_GB2312"/>
                <w:kern w:val="0"/>
              </w:rPr>
              <w:t>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结转结余率大于或等于</w:t>
            </w:r>
            <w:r>
              <w:rPr>
                <w:rFonts w:ascii="仿宋_GB2312" w:hAnsi="新宋体" w:eastAsia="仿宋_GB2312" w:cs="仿宋_GB2312"/>
                <w:kern w:val="0"/>
              </w:rPr>
              <w:t>50%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结转结余率在</w:t>
            </w:r>
            <w:r>
              <w:rPr>
                <w:rFonts w:ascii="仿宋_GB2312" w:hAnsi="新宋体" w:eastAsia="仿宋_GB2312" w:cs="仿宋_GB2312"/>
                <w:kern w:val="0"/>
              </w:rPr>
              <w:t>0-50%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（结转结余率）－某部门结转结余率</w:t>
            </w:r>
            <w:r>
              <w:rPr>
                <w:rFonts w:ascii="仿宋_GB2312" w:hAnsi="新宋体" w:eastAsia="仿宋_GB2312" w:cs="仿宋_GB2312"/>
                <w:kern w:val="0"/>
              </w:rPr>
              <w:t>]/[max</w:t>
            </w:r>
            <w:r>
              <w:rPr>
                <w:rFonts w:hint="eastAsia" w:ascii="仿宋_GB2312" w:hAnsi="新宋体" w:eastAsia="仿宋_GB2312" w:cs="仿宋_GB2312"/>
                <w:kern w:val="0"/>
              </w:rPr>
              <w:t>（结转结余率）－</w:t>
            </w:r>
            <w:r>
              <w:rPr>
                <w:rFonts w:ascii="仿宋_GB2312" w:hAnsi="新宋体" w:eastAsia="仿宋_GB2312" w:cs="仿宋_GB2312"/>
                <w:kern w:val="0"/>
              </w:rPr>
              <w:t>min</w:t>
            </w: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通过对部门本年度实际支出的公用经费总额与预算安排的公用经费总额的比率，反映和评价部门对机构运转成本的实际控制程度。</w:t>
            </w:r>
          </w:p>
          <w:p>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（实际支出公用经费总额</w:t>
            </w:r>
            <w:r>
              <w:rPr>
                <w:rFonts w:ascii="仿宋_GB2312" w:hAnsi="新宋体" w:eastAsia="仿宋_GB2312" w:cs="仿宋_GB2312"/>
                <w:kern w:val="0"/>
              </w:rPr>
              <w:t>/</w:t>
            </w:r>
            <w:r>
              <w:rPr>
                <w:rFonts w:hint="eastAsia" w:ascii="仿宋_GB2312" w:hAnsi="新宋体" w:eastAsia="仿宋_GB2312" w:cs="仿宋_GB2312"/>
                <w:kern w:val="0"/>
              </w:rPr>
              <w:t>预算安排公用经费总额）×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公用经费控制率小于或等于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公用经费控制率大于或等于</w:t>
            </w:r>
            <w:r>
              <w:rPr>
                <w:rFonts w:ascii="仿宋_GB2312" w:hAnsi="新宋体" w:eastAsia="仿宋_GB2312" w:cs="仿宋_GB2312"/>
                <w:kern w:val="0"/>
              </w:rPr>
              <w:t>105%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公用经费控制率在</w:t>
            </w:r>
            <w:r>
              <w:rPr>
                <w:rFonts w:ascii="仿宋_GB2312" w:hAnsi="新宋体" w:eastAsia="仿宋_GB2312" w:cs="仿宋_GB2312"/>
                <w:kern w:val="0"/>
              </w:rPr>
              <w:t>100%-105%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某部门公用经费控制率］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-min</w:t>
            </w:r>
            <w:r>
              <w:rPr>
                <w:rFonts w:hint="eastAsia" w:ascii="仿宋_GB2312" w:hAnsi="新宋体" w:eastAsia="仿宋_GB2312" w:cs="仿宋_GB2312"/>
                <w:kern w:val="0"/>
              </w:rPr>
              <w:t>（公用经费控制率）］×该指标分值。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通过对部门本年度实际政府采购预算项目个数与政府采购预算项目个数的比较，反映和评价部门政府采购预算执行情况。</w:t>
            </w:r>
          </w:p>
          <w:p>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（实际政府采购预算项目个数</w:t>
            </w:r>
            <w:r>
              <w:rPr>
                <w:rFonts w:ascii="仿宋_GB2312" w:hAnsi="新宋体" w:eastAsia="仿宋_GB2312" w:cs="仿宋_GB2312"/>
                <w:kern w:val="0"/>
              </w:rPr>
              <w:t>/</w:t>
            </w:r>
            <w:r>
              <w:rPr>
                <w:rFonts w:hint="eastAsia" w:ascii="仿宋_GB2312" w:hAnsi="新宋体" w:eastAsia="仿宋_GB2312" w:cs="仿宋_GB2312"/>
                <w:kern w:val="0"/>
              </w:rPr>
              <w:t>政府采购预算项目个数）×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政府采购项目中非预算内安排的项目除外。</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政府采购执行率等于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政府采购执行率小于或等于</w:t>
            </w:r>
            <w:r>
              <w:rPr>
                <w:rFonts w:ascii="仿宋_GB2312" w:hAnsi="新宋体" w:eastAsia="仿宋_GB2312" w:cs="仿宋_GB2312"/>
                <w:kern w:val="0"/>
              </w:rPr>
              <w:t>90%</w:t>
            </w:r>
            <w:r>
              <w:rPr>
                <w:rFonts w:hint="eastAsia" w:ascii="仿宋_GB2312" w:hAnsi="新宋体" w:eastAsia="仿宋_GB2312" w:cs="仿宋_GB2312"/>
                <w:kern w:val="0"/>
              </w:rPr>
              <w:t>的，</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政府采购执行率在</w:t>
            </w:r>
            <w:r>
              <w:rPr>
                <w:rFonts w:ascii="仿宋_GB2312" w:hAnsi="新宋体" w:eastAsia="仿宋_GB2312" w:cs="仿宋_GB2312"/>
                <w:kern w:val="0"/>
              </w:rPr>
              <w:t>90%-100%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0"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预算管理情况</w:t>
            </w:r>
          </w:p>
          <w:p>
            <w:pPr>
              <w:widowControl/>
              <w:spacing w:line="240" w:lineRule="exact"/>
              <w:jc w:val="left"/>
              <w:rPr>
                <w:rFonts w:cs="Times New Roman"/>
              </w:rPr>
            </w:pPr>
            <w:r>
              <w:rPr>
                <w:rFonts w:hint="eastAsia" w:ascii="仿宋_GB2312" w:hAnsi="新宋体" w:eastAsia="仿宋_GB2312" w:cs="仿宋_GB2312"/>
                <w:kern w:val="0"/>
              </w:rPr>
              <w:t>（</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资金使用合规性（</w:t>
            </w:r>
            <w:r>
              <w:rPr>
                <w:rFonts w:ascii="仿宋_GB2312" w:hAnsi="新宋体" w:eastAsia="仿宋_GB2312" w:cs="仿宋_GB2312"/>
                <w:kern w:val="0"/>
              </w:rPr>
              <w:t>8</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部门使用预算资金是否符合相关的预算财务管理制度的规定，反映和评价部门预算资金的规范运行情况。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符合国家财经法规和财务管理制度规定以及有关部门资金管理办法的规定；</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资金的拨付有完整的审批过程和手续；</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项目的重大开支经过评估论证；</w:t>
            </w:r>
          </w:p>
          <w:p>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符合部门预算批复的用途；</w:t>
            </w:r>
          </w:p>
          <w:p>
            <w:pPr>
              <w:widowControl/>
              <w:spacing w:line="240" w:lineRule="exact"/>
              <w:jc w:val="left"/>
              <w:rPr>
                <w:rFonts w:cs="Times New Roman"/>
              </w:rPr>
            </w:pPr>
            <w:r>
              <w:rPr>
                <w:rFonts w:ascii="仿宋_GB2312" w:hAnsi="新宋体" w:eastAsia="仿宋_GB2312" w:cs="仿宋_GB2312"/>
                <w:kern w:val="0"/>
              </w:rPr>
              <w:t>5.</w:t>
            </w:r>
            <w:r>
              <w:rPr>
                <w:rFonts w:hint="eastAsia" w:ascii="仿宋_GB2312" w:hAnsi="新宋体" w:eastAsia="仿宋_GB2312" w:cs="仿宋_GB2312"/>
                <w:kern w:val="0"/>
              </w:rPr>
              <w:t>不存在截留情况；</w:t>
            </w:r>
          </w:p>
          <w:p>
            <w:pPr>
              <w:widowControl/>
              <w:spacing w:line="240" w:lineRule="exact"/>
              <w:jc w:val="left"/>
              <w:rPr>
                <w:rFonts w:cs="Times New Roman"/>
              </w:rPr>
            </w:pPr>
            <w:r>
              <w:rPr>
                <w:rFonts w:ascii="仿宋_GB2312" w:hAnsi="新宋体" w:eastAsia="仿宋_GB2312" w:cs="仿宋_GB2312"/>
                <w:kern w:val="0"/>
              </w:rPr>
              <w:t>6.</w:t>
            </w:r>
            <w:r>
              <w:rPr>
                <w:rFonts w:hint="eastAsia" w:ascii="仿宋_GB2312" w:hAnsi="新宋体" w:eastAsia="仿宋_GB2312" w:cs="仿宋_GB2312"/>
                <w:kern w:val="0"/>
              </w:rPr>
              <w:t>不存在挤占情况；</w:t>
            </w:r>
          </w:p>
          <w:p>
            <w:pPr>
              <w:widowControl/>
              <w:spacing w:line="240" w:lineRule="exact"/>
              <w:jc w:val="left"/>
              <w:rPr>
                <w:rFonts w:cs="Times New Roman"/>
              </w:rPr>
            </w:pPr>
            <w:r>
              <w:rPr>
                <w:rFonts w:ascii="仿宋_GB2312" w:hAnsi="新宋体" w:eastAsia="仿宋_GB2312" w:cs="仿宋_GB2312"/>
                <w:kern w:val="0"/>
              </w:rPr>
              <w:t>7.</w:t>
            </w:r>
            <w:r>
              <w:rPr>
                <w:rFonts w:hint="eastAsia" w:ascii="仿宋_GB2312" w:hAnsi="新宋体" w:eastAsia="仿宋_GB2312" w:cs="仿宋_GB2312"/>
                <w:kern w:val="0"/>
              </w:rPr>
              <w:t>不存在挪用情况；</w:t>
            </w:r>
          </w:p>
          <w:p>
            <w:pPr>
              <w:widowControl/>
              <w:spacing w:line="240" w:lineRule="exact"/>
              <w:jc w:val="left"/>
              <w:rPr>
                <w:rFonts w:cs="Times New Roman"/>
              </w:rPr>
            </w:pPr>
            <w:r>
              <w:rPr>
                <w:rFonts w:ascii="仿宋_GB2312" w:hAnsi="新宋体" w:eastAsia="仿宋_GB2312" w:cs="仿宋_GB2312"/>
                <w:kern w:val="0"/>
              </w:rPr>
              <w:t>8.</w:t>
            </w:r>
            <w:r>
              <w:rPr>
                <w:rFonts w:hint="eastAsia" w:ascii="仿宋_GB2312" w:hAnsi="新宋体" w:eastAsia="仿宋_GB2312" w:cs="仿宋_GB2312"/>
                <w:kern w:val="0"/>
              </w:rPr>
              <w:t>不存在虚列支出情况。</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8</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符合其中七项（</w:t>
            </w:r>
            <w:r>
              <w:rPr>
                <w:rFonts w:ascii="仿宋_GB2312" w:hAnsi="新宋体" w:eastAsia="仿宋_GB2312" w:cs="仿宋_GB2312"/>
                <w:kern w:val="0"/>
              </w:rPr>
              <w:t>6</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符合其中六项（</w:t>
            </w:r>
            <w:r>
              <w:rPr>
                <w:rFonts w:ascii="仿宋_GB2312" w:hAnsi="新宋体" w:eastAsia="仿宋_GB2312" w:cs="仿宋_GB2312"/>
                <w:kern w:val="0"/>
              </w:rPr>
              <w:t>4</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符合其中五项（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符合其中四项及以下（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预决算信息公开性（</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部门是否按照政府信息公开有关规定公开相关预决算信息，用以反映和评价部门预决算管理的公开透明情况。</w:t>
            </w:r>
          </w:p>
          <w:p>
            <w:pPr>
              <w:widowControl/>
              <w:spacing w:line="240" w:lineRule="exact"/>
              <w:jc w:val="left"/>
              <w:rPr>
                <w:rFonts w:cs="Times New Roman"/>
              </w:rPr>
            </w:pPr>
            <w:r>
              <w:rPr>
                <w:rFonts w:hint="eastAsia" w:ascii="仿宋_GB2312" w:hAnsi="新宋体" w:eastAsia="仿宋_GB2312" w:cs="仿宋_GB2312"/>
                <w:kern w:val="0"/>
              </w:rPr>
              <w:t>预决算信息是指与部门预算、执行、决算、监督、绩效等管理相关的信息。</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公开预决算信息；</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按规定内容公开预决算信息；</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按规定时限公开预决算信息。</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3</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基础信息完善性</w:t>
            </w:r>
            <w:r>
              <w:rPr>
                <w:rFonts w:hint="eastAsia" w:ascii="仿宋_GB2312" w:hAnsi="新宋体" w:eastAsia="仿宋_GB2312" w:cs="仿宋_GB2312"/>
                <w:kern w:val="0"/>
              </w:rPr>
              <w:t>（</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部门基础信息是否完善，用以反映和评价基础信息对预算管理工作的支撑情况。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基本财务管理制度健全；</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基础数据信息和会计信息资料真实；</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基础数据信息和会计信息资料完整；</w:t>
            </w:r>
          </w:p>
          <w:p>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基础数据信息和会计信息资料准确。</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符合全部四项（</w:t>
            </w:r>
            <w:r>
              <w:rPr>
                <w:rFonts w:ascii="仿宋_GB2312" w:hAnsi="新宋体" w:eastAsia="仿宋_GB2312" w:cs="仿宋_GB2312"/>
                <w:kern w:val="0"/>
              </w:rPr>
              <w:t>4</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符合其中三项（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资产管理情况（</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资产管理完整性（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部门的资产是否保存完整、使用合规、收入及时足额上缴，用以反映和评价部门资产运行情况。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资产保存完整；</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资产账务管理是否合规，帐实相符；</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资产有偿使用及处置收入及时足额上缴。</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符合全部三项（</w:t>
            </w:r>
            <w:r>
              <w:rPr>
                <w:rFonts w:ascii="仿宋_GB2312" w:hAnsi="新宋体" w:eastAsia="仿宋_GB2312" w:cs="仿宋_GB2312"/>
                <w:kern w:val="0"/>
              </w:rPr>
              <w:t>3</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符合零项（</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top w:val="single" w:color="auto" w:sz="4" w:space="0"/>
              <w:left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部门实际在用固定资产总额与所有固定资产总额的比率，用以反映和评价部门固定资产使用效率。</w:t>
            </w:r>
          </w:p>
          <w:p>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（实际在用固定资产总额</w:t>
            </w:r>
            <w:r>
              <w:rPr>
                <w:rFonts w:ascii="仿宋_GB2312" w:hAnsi="新宋体" w:eastAsia="仿宋_GB2312" w:cs="仿宋_GB2312"/>
                <w:kern w:val="0"/>
              </w:rPr>
              <w:t>/</w:t>
            </w:r>
            <w:r>
              <w:rPr>
                <w:rFonts w:hint="eastAsia" w:ascii="仿宋_GB2312" w:hAnsi="新宋体" w:eastAsia="仿宋_GB2312" w:cs="仿宋_GB2312"/>
                <w:kern w:val="0"/>
              </w:rPr>
              <w:t>所有固定资产总额）×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固定资产利用率大于或等于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固定资产利用率小于或等于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固定资产利用率在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（固定资产利用率）］×该指标分值。</w:t>
            </w:r>
          </w:p>
        </w:tc>
        <w:tc>
          <w:tcPr>
            <w:tcW w:w="765" w:type="dxa"/>
            <w:tcBorders>
              <w:top w:val="single" w:color="auto" w:sz="4" w:space="0"/>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0"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产出</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职责履行情况（</w:t>
            </w:r>
            <w:r>
              <w:rPr>
                <w:rFonts w:ascii="仿宋_GB2312" w:hAnsi="新宋体" w:eastAsia="仿宋_GB2312" w:cs="仿宋_GB2312"/>
                <w:kern w:val="0"/>
              </w:rPr>
              <w:t>25</w:t>
            </w:r>
            <w:r>
              <w:rPr>
                <w:rFonts w:hint="eastAsia" w:ascii="仿宋_GB2312" w:hAnsi="新宋体" w:eastAsia="仿宋_GB2312" w:cs="仿宋_GB2312"/>
                <w:kern w:val="0"/>
              </w:rPr>
              <w:t>）</w:t>
            </w: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履职完成情况（</w:t>
            </w:r>
            <w:r>
              <w:rPr>
                <w:rFonts w:ascii="仿宋_GB2312" w:hAnsi="新宋体" w:eastAsia="仿宋_GB2312" w:cs="仿宋_GB2312"/>
                <w:kern w:val="0"/>
              </w:rPr>
              <w:t>10</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每项任务是否已制定了明确、具体、可量化、可衡量的绩效指标；</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每项任务绩效指标的完成情况，是全部完成、基本完成、未完成，还是未实施；</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每项任务实施效果情况，是优秀、良好、一般，还是无效果；</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每项任务是否建立了目标责任制，是否落实到具体部门和人员负责。</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根据不同部门履职的内容和特点，具体测算部门履职工作任务目标的完成情况。</w:t>
            </w:r>
          </w:p>
        </w:tc>
        <w:tc>
          <w:tcPr>
            <w:tcW w:w="765" w:type="dxa"/>
            <w:tcBorders>
              <w:left w:val="single" w:color="auto" w:sz="4" w:space="0"/>
              <w:bottom w:val="single" w:color="auto" w:sz="4" w:space="0"/>
            </w:tcBorders>
            <w:vAlign w:val="center"/>
          </w:tcPr>
          <w:p>
            <w:pPr>
              <w:widowControl/>
              <w:spacing w:line="240" w:lineRule="exact"/>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项目完成质量达标率（</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部门已完成项目中质量达标项目个数占已完成项目个数的比率</w:t>
            </w:r>
            <w:r>
              <w:rPr>
                <w:rFonts w:ascii="仿宋_GB2312" w:hAnsi="新宋体" w:eastAsia="仿宋_GB2312" w:cs="仿宋_GB2312"/>
                <w:kern w:val="0"/>
              </w:rPr>
              <w:t>,</w:t>
            </w:r>
            <w:r>
              <w:rPr>
                <w:rFonts w:hint="eastAsia" w:ascii="仿宋_GB2312" w:hAnsi="新宋体" w:eastAsia="仿宋_GB2312" w:cs="仿宋_GB2312"/>
                <w:kern w:val="0"/>
              </w:rPr>
              <w:t>用以反映和评价部门履职质量目标的实现程度。</w:t>
            </w:r>
          </w:p>
          <w:p>
            <w:pPr>
              <w:widowControl/>
              <w:spacing w:line="240" w:lineRule="exact"/>
              <w:jc w:val="left"/>
              <w:rPr>
                <w:rFonts w:cs="Times New Roman"/>
              </w:rPr>
            </w:pP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（已完成项目中质量达标项目个数</w:t>
            </w:r>
            <w:r>
              <w:rPr>
                <w:rFonts w:ascii="仿宋_GB2312" w:hAnsi="新宋体" w:eastAsia="仿宋_GB2312" w:cs="仿宋_GB2312"/>
                <w:kern w:val="0"/>
              </w:rPr>
              <w:t>/</w:t>
            </w:r>
            <w:r>
              <w:rPr>
                <w:rFonts w:hint="eastAsia" w:ascii="仿宋_GB2312" w:hAnsi="新宋体" w:eastAsia="仿宋_GB2312" w:cs="仿宋_GB2312"/>
                <w:kern w:val="0"/>
              </w:rPr>
              <w:t>已完成项目个数）×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项目质量达标是指项目决算验收合格。</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项目质量达标率等于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项目质量达标率小于或等于</w:t>
            </w:r>
            <w:r>
              <w:rPr>
                <w:rFonts w:ascii="仿宋_GB2312" w:hAnsi="新宋体" w:eastAsia="仿宋_GB2312" w:cs="仿宋_GB2312"/>
                <w:kern w:val="0"/>
              </w:rPr>
              <w:t>99%</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项目质量达标率在</w:t>
            </w:r>
            <w:r>
              <w:rPr>
                <w:rFonts w:ascii="仿宋_GB2312" w:hAnsi="新宋体" w:eastAsia="仿宋_GB2312" w:cs="仿宋_GB2312"/>
                <w:kern w:val="0"/>
              </w:rPr>
              <w:t>99%-100%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r>
              <w:rPr>
                <w:rFonts w:ascii="仿宋_GB2312" w:hAnsi="新宋体" w:eastAsia="仿宋_GB2312" w:cs="仿宋_GB2312"/>
                <w:kern w:val="0"/>
              </w:rPr>
              <w:t xml:space="preserve"> </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（项目质量达标率）］×该指标分值。</w:t>
            </w:r>
          </w:p>
        </w:tc>
        <w:tc>
          <w:tcPr>
            <w:tcW w:w="765" w:type="dxa"/>
            <w:tcBorders>
              <w:left w:val="single" w:color="auto" w:sz="4" w:space="0"/>
              <w:bottom w:val="single" w:color="auto" w:sz="4" w:space="0"/>
            </w:tcBorders>
            <w:vAlign w:val="center"/>
          </w:tcPr>
          <w:p>
            <w:pPr>
              <w:widowControl/>
              <w:spacing w:line="240" w:lineRule="exact"/>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效果（</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765" w:type="dxa"/>
            <w:vMerge w:val="restart"/>
            <w:tcBorders>
              <w:top w:val="single" w:color="auto" w:sz="4" w:space="0"/>
            </w:tcBorders>
            <w:vAlign w:val="center"/>
          </w:tcPr>
          <w:p>
            <w:pPr>
              <w:widowControl/>
              <w:spacing w:line="240" w:lineRule="exact"/>
              <w:jc w:val="left"/>
              <w:rPr>
                <w:rFonts w:ascii="仿宋_GB2312" w:hAnsi="新宋体" w:eastAsia="仿宋_GB2312" w:cs="Times New Roman"/>
                <w:kern w:val="0"/>
              </w:rPr>
            </w:pPr>
          </w:p>
          <w:p>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履职效益情况</w:t>
            </w:r>
          </w:p>
          <w:p>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经济效益</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通过部门所属企事业单位改革，促进了企事业单位效益增长情况；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通过预算支出项目的实施，促进了行业生产能力增长，从而带动行业经济效益增长；</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通过预算支出项目的实施，有效提高劳动效率，节约成本费用；</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通过预算支出项目的实施，降低了损耗，从而提高了生产效益；</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通过预算支出项目的实施，完善了突发情况的监测预警，保障了生产安全，降低了生产损失。</w:t>
            </w:r>
          </w:p>
        </w:tc>
        <w:tc>
          <w:tcPr>
            <w:tcW w:w="2550"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根据不同部门履职的内容和特点，具体测算部门履职产生的经济效益。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widowControl/>
              <w:spacing w:line="240" w:lineRule="exact"/>
              <w:jc w:val="left"/>
              <w:rPr>
                <w:rFonts w:ascii="仿宋_GB2312" w:hAnsi="新宋体" w:eastAsia="仿宋_GB2312" w:cs="Times New Roman"/>
                <w:kern w:val="0"/>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pPr>
              <w:widowControl/>
              <w:spacing w:line="240" w:lineRule="exact"/>
              <w:rPr>
                <w:rFonts w:ascii="仿宋_GB2312" w:hAnsi="新宋体" w:eastAsia="仿宋_GB2312" w:cs="Times New Roman"/>
                <w:color w:val="000000"/>
                <w:kern w:val="0"/>
              </w:rPr>
            </w:pPr>
            <w:r>
              <w:rPr>
                <w:rFonts w:hint="eastAsia" w:ascii="仿宋_GB2312" w:hAnsi="新宋体" w:eastAsia="仿宋_GB2312" w:cs="仿宋_GB2312"/>
                <w:color w:val="000000"/>
                <w:kern w:val="0"/>
              </w:rPr>
              <w:t>社会效益（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部门及所属二级单位履行职责对社会发展所带来的直接或间接影响。</w:t>
            </w:r>
          </w:p>
          <w:p>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通过部门所属企事业单位的改革，促进了企事业单位可持续发展，带动就业增长情况；</w:t>
            </w:r>
            <w:r>
              <w:rPr>
                <w:rFonts w:ascii="仿宋" w:hAnsi="仿宋" w:eastAsia="仿宋" w:cs="仿宋"/>
                <w:color w:val="000000"/>
                <w:kern w:val="0"/>
              </w:rPr>
              <w:t xml:space="preserve">          </w:t>
            </w:r>
            <w:r>
              <w:rPr>
                <w:rFonts w:ascii="仿宋" w:hAnsi="仿宋" w:eastAsia="仿宋" w:cs="仿宋"/>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通过预算支出项目的实施，是否明显促进了行业精神文明建设；</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通过部门履职是否明显提高城乡居民生活水平，满足了人们日益增长的物质与文化生活需求；</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通过预算项目的实施，是否提高了劳动生产率，降低了劳动强度，促进了劳动人民的身心健康；</w:t>
            </w:r>
            <w:r>
              <w:rPr>
                <w:rFonts w:ascii="仿宋" w:hAnsi="仿宋" w:eastAsia="仿宋" w:cs="Times New Roman"/>
                <w:color w:val="000000"/>
                <w:kern w:val="0"/>
              </w:rPr>
              <w:br w:type="textWrapping"/>
            </w:r>
            <w:r>
              <w:rPr>
                <w:rFonts w:ascii="仿宋" w:hAnsi="仿宋" w:eastAsia="仿宋" w:cs="仿宋"/>
                <w:color w:val="000000"/>
                <w:kern w:val="0"/>
              </w:rPr>
              <w:t>5.</w:t>
            </w:r>
            <w:r>
              <w:rPr>
                <w:rFonts w:hint="eastAsia" w:ascii="仿宋" w:hAnsi="仿宋" w:eastAsia="仿宋" w:cs="仿宋"/>
                <w:color w:val="000000"/>
                <w:kern w:val="0"/>
              </w:rPr>
              <w:t>通过部门履职行业形象是否得到了大大提升了，增强了部门影响力。</w:t>
            </w:r>
          </w:p>
        </w:tc>
        <w:tc>
          <w:tcPr>
            <w:tcW w:w="2550" w:type="dxa"/>
            <w:tcBorders>
              <w:left w:val="single" w:color="auto" w:sz="4" w:space="0"/>
              <w:right w:val="single" w:color="auto" w:sz="4" w:space="0"/>
            </w:tcBorders>
            <w:vAlign w:val="center"/>
          </w:tcPr>
          <w:p>
            <w:pPr>
              <w:widowControl/>
              <w:spacing w:line="240" w:lineRule="exac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根据不同部门履职的内容和特点，具体测算部门履职产生的社会效益。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widowControl/>
              <w:spacing w:line="240" w:lineRule="exact"/>
              <w:jc w:val="left"/>
              <w:rPr>
                <w:rFonts w:ascii="仿宋_GB2312" w:hAnsi="新宋体" w:eastAsia="仿宋_GB2312" w:cs="Times New Roman"/>
                <w:kern w:val="0"/>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pPr>
              <w:widowControl/>
              <w:spacing w:line="240" w:lineRule="exact"/>
              <w:jc w:val="left"/>
              <w:rPr>
                <w:rFonts w:ascii="仿宋_GB2312" w:hAnsi="新宋体" w:eastAsia="仿宋_GB2312" w:cs="Times New Roman"/>
                <w:color w:val="000000"/>
                <w:kern w:val="0"/>
              </w:rPr>
            </w:pPr>
            <w:r>
              <w:rPr>
                <w:rFonts w:hint="eastAsia" w:ascii="仿宋_GB2312" w:hAnsi="新宋体" w:eastAsia="仿宋_GB2312" w:cs="仿宋_GB2312"/>
                <w:color w:val="000000"/>
                <w:kern w:val="0"/>
              </w:rPr>
              <w:t>生态效益（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部门及所属二级单位履行职责对生态环境所带来的直接或间接影响。</w:t>
            </w:r>
          </w:p>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评价要点：</w:t>
            </w:r>
            <w:r>
              <w:rPr>
                <w:rFonts w:ascii="仿宋" w:hAnsi="仿宋" w:eastAsia="仿宋" w:cs="Times New Roman"/>
                <w:color w:val="000000"/>
                <w:kern w:val="0"/>
              </w:rPr>
              <w:br w:type="textWrapping"/>
            </w:r>
            <w:r>
              <w:rPr>
                <w:rFonts w:ascii="仿宋" w:hAnsi="仿宋" w:eastAsia="仿宋" w:cs="仿宋"/>
                <w:color w:val="000000"/>
                <w:kern w:val="0"/>
              </w:rPr>
              <w:t>1.</w:t>
            </w:r>
            <w:r>
              <w:rPr>
                <w:rFonts w:hint="eastAsia" w:ascii="仿宋" w:hAnsi="仿宋" w:eastAsia="仿宋" w:cs="仿宋"/>
                <w:color w:val="000000"/>
                <w:kern w:val="0"/>
              </w:rPr>
              <w:t>通过预算支出项目的实施，绿色、节能环保新技术的应用和推广，明显带动各环节的节能减排，也具有一定的环境效益；</w:t>
            </w:r>
            <w:r>
              <w:rPr>
                <w:rFonts w:ascii="仿宋" w:hAnsi="仿宋" w:eastAsia="仿宋" w:cs="Times New Roman"/>
                <w:color w:val="000000"/>
                <w:kern w:val="0"/>
              </w:rPr>
              <w:br w:type="textWrapping"/>
            </w:r>
            <w:r>
              <w:rPr>
                <w:rFonts w:ascii="仿宋" w:hAnsi="仿宋" w:eastAsia="仿宋" w:cs="仿宋"/>
                <w:color w:val="000000"/>
                <w:kern w:val="0"/>
              </w:rPr>
              <w:t>2.</w:t>
            </w:r>
            <w:r>
              <w:rPr>
                <w:rFonts w:hint="eastAsia" w:ascii="仿宋" w:hAnsi="仿宋" w:eastAsia="仿宋" w:cs="仿宋"/>
                <w:color w:val="000000"/>
                <w:kern w:val="0"/>
              </w:rPr>
              <w:t>通过履职有效地控制虚假、伪劣、霉变等劣质产品进入市场，影响了人民生活质量，净化地市场环境；</w:t>
            </w:r>
            <w:r>
              <w:rPr>
                <w:rFonts w:ascii="仿宋" w:hAnsi="仿宋" w:eastAsia="仿宋" w:cs="Times New Roman"/>
                <w:color w:val="000000"/>
                <w:kern w:val="0"/>
              </w:rPr>
              <w:br w:type="textWrapping"/>
            </w:r>
            <w:r>
              <w:rPr>
                <w:rFonts w:ascii="仿宋" w:hAnsi="仿宋" w:eastAsia="仿宋" w:cs="仿宋"/>
                <w:color w:val="000000"/>
                <w:kern w:val="0"/>
              </w:rPr>
              <w:t>3.</w:t>
            </w:r>
            <w:r>
              <w:rPr>
                <w:rFonts w:hint="eastAsia" w:ascii="仿宋" w:hAnsi="仿宋" w:eastAsia="仿宋" w:cs="仿宋"/>
                <w:color w:val="000000"/>
                <w:kern w:val="0"/>
              </w:rPr>
              <w:t>通过预算支出项目的实施，是否达到减少污染物排放；</w:t>
            </w:r>
            <w:r>
              <w:rPr>
                <w:rFonts w:ascii="仿宋" w:hAnsi="仿宋" w:eastAsia="仿宋" w:cs="Times New Roman"/>
                <w:color w:val="000000"/>
                <w:kern w:val="0"/>
              </w:rPr>
              <w:br w:type="textWrapping"/>
            </w:r>
            <w:r>
              <w:rPr>
                <w:rFonts w:ascii="仿宋" w:hAnsi="仿宋" w:eastAsia="仿宋" w:cs="仿宋"/>
                <w:color w:val="000000"/>
                <w:kern w:val="0"/>
              </w:rPr>
              <w:t>4.</w:t>
            </w:r>
            <w:r>
              <w:rPr>
                <w:rFonts w:hint="eastAsia" w:ascii="仿宋" w:hAnsi="仿宋" w:eastAsia="仿宋" w:cs="仿宋"/>
                <w:color w:val="000000"/>
                <w:kern w:val="0"/>
              </w:rPr>
              <w:t>通过预算支出项目的实施，周围环境得到了整治，面貌得到了改善。</w:t>
            </w:r>
          </w:p>
        </w:tc>
        <w:tc>
          <w:tcPr>
            <w:tcW w:w="2550" w:type="dxa"/>
            <w:tcBorders>
              <w:left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根据不同部门履职的内容和特点，具体测算部门履职产生的生态效益。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spacing w:line="240" w:lineRule="exact"/>
              <w:rPr>
                <w:rFonts w:ascii="宋体" w:cs="Times New Roman"/>
              </w:rPr>
            </w:pPr>
          </w:p>
        </w:tc>
        <w:tc>
          <w:tcPr>
            <w:tcW w:w="765" w:type="dxa"/>
            <w:vMerge w:val="continue"/>
            <w:tcBorders>
              <w:bottom w:val="single" w:color="auto" w:sz="4" w:space="0"/>
            </w:tcBorders>
            <w:vAlign w:val="center"/>
          </w:tcPr>
          <w:p>
            <w:pPr>
              <w:widowControl/>
              <w:spacing w:line="240" w:lineRule="exact"/>
              <w:jc w:val="left"/>
              <w:rPr>
                <w:rFonts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服务对象满意度（</w:t>
            </w:r>
            <w:r>
              <w:rPr>
                <w:rFonts w:ascii="仿宋_GB2312" w:hAnsi="新宋体" w:eastAsia="仿宋_GB2312" w:cs="仿宋_GB2312"/>
                <w:kern w:val="0"/>
              </w:rPr>
              <w:t>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通过对部门（单位）的服务对象对部门履职效果的满意程度调查，反映和考核社会公众或服务对象对部门履职的满意度。</w:t>
            </w:r>
          </w:p>
        </w:tc>
        <w:tc>
          <w:tcPr>
            <w:tcW w:w="2550" w:type="dxa"/>
            <w:tcBorders>
              <w:left w:val="single" w:color="auto" w:sz="4" w:space="0"/>
              <w:right w:val="single" w:color="auto" w:sz="4" w:space="0"/>
            </w:tcBorders>
            <w:vAlign w:val="center"/>
          </w:tcPr>
          <w:p>
            <w:pPr>
              <w:widowControl/>
              <w:spacing w:line="240" w:lineRule="exact"/>
              <w:rPr>
                <w:rFonts w:ascii="仿宋" w:hAnsi="仿宋" w:eastAsia="仿宋" w:cs="Times New Roman"/>
                <w:kern w:val="0"/>
              </w:rPr>
            </w:pPr>
            <w:r>
              <w:rPr>
                <w:rFonts w:hint="eastAsia" w:ascii="仿宋" w:hAnsi="仿宋" w:eastAsia="仿宋" w:cs="仿宋"/>
                <w:kern w:val="0"/>
              </w:rPr>
              <w:t>按照满意度调查的优秀、良好、合格、不合格给予该项指标打分：</w:t>
            </w:r>
          </w:p>
          <w:p>
            <w:pPr>
              <w:widowControl/>
              <w:spacing w:line="240" w:lineRule="exact"/>
              <w:rPr>
                <w:rFonts w:cs="Times New Roman"/>
              </w:rPr>
            </w:pPr>
            <w:r>
              <w:rPr>
                <w:rFonts w:hint="eastAsia" w:ascii="仿宋" w:hAnsi="仿宋" w:eastAsia="仿宋" w:cs="仿宋"/>
                <w:kern w:val="0"/>
              </w:rPr>
              <w:t>优秀（</w:t>
            </w:r>
            <w:r>
              <w:rPr>
                <w:rFonts w:ascii="仿宋" w:hAnsi="仿宋" w:eastAsia="仿宋" w:cs="仿宋"/>
                <w:kern w:val="0"/>
              </w:rPr>
              <w:t>5</w:t>
            </w:r>
            <w:r>
              <w:rPr>
                <w:rFonts w:hint="eastAsia" w:ascii="仿宋" w:hAnsi="仿宋" w:eastAsia="仿宋" w:cs="仿宋"/>
                <w:kern w:val="0"/>
              </w:rPr>
              <w:t>）；良好（</w:t>
            </w:r>
            <w:r>
              <w:rPr>
                <w:rFonts w:ascii="仿宋" w:hAnsi="仿宋" w:eastAsia="仿宋" w:cs="仿宋"/>
                <w:kern w:val="0"/>
              </w:rPr>
              <w:t>3</w:t>
            </w:r>
            <w:r>
              <w:rPr>
                <w:rFonts w:hint="eastAsia" w:ascii="仿宋" w:hAnsi="仿宋" w:eastAsia="仿宋" w:cs="仿宋"/>
                <w:kern w:val="0"/>
              </w:rPr>
              <w:t>）；合格（</w:t>
            </w:r>
            <w:r>
              <w:rPr>
                <w:rFonts w:ascii="仿宋" w:hAnsi="仿宋" w:eastAsia="仿宋" w:cs="仿宋"/>
                <w:kern w:val="0"/>
              </w:rPr>
              <w:t>1</w:t>
            </w:r>
            <w:r>
              <w:rPr>
                <w:rFonts w:hint="eastAsia" w:ascii="仿宋" w:hAnsi="仿宋" w:eastAsia="仿宋" w:cs="仿宋"/>
                <w:kern w:val="0"/>
              </w:rPr>
              <w:t>）；不合格（</w:t>
            </w:r>
            <w:r>
              <w:rPr>
                <w:rFonts w:ascii="仿宋" w:hAnsi="仿宋" w:eastAsia="仿宋" w:cs="仿宋"/>
                <w:kern w:val="0"/>
              </w:rPr>
              <w:t>0</w:t>
            </w:r>
            <w:r>
              <w:rPr>
                <w:rFonts w:hint="eastAsia" w:ascii="仿宋" w:hAnsi="仿宋" w:eastAsia="仿宋" w:cs="仿宋"/>
                <w:kern w:val="0"/>
              </w:rPr>
              <w:t>）。</w:t>
            </w:r>
          </w:p>
        </w:tc>
        <w:tc>
          <w:tcPr>
            <w:tcW w:w="765" w:type="dxa"/>
            <w:tcBorders>
              <w:left w:val="single" w:color="auto" w:sz="4" w:space="0"/>
            </w:tcBorders>
            <w:vAlign w:val="center"/>
          </w:tcPr>
          <w:p>
            <w:pPr>
              <w:widowControl/>
              <w:spacing w:line="240" w:lineRule="exact"/>
              <w:jc w:val="center"/>
            </w:pPr>
            <w:r>
              <w:t>5</w:t>
            </w:r>
          </w:p>
        </w:tc>
      </w:tr>
    </w:tbl>
    <w:p>
      <w:pPr>
        <w:spacing w:line="240" w:lineRule="exact"/>
        <w:rPr>
          <w:rFonts w:ascii="仿宋" w:hAnsi="仿宋" w:eastAsia="仿宋" w:cs="Times New Roman"/>
          <w:sz w:val="32"/>
          <w:szCs w:val="32"/>
        </w:rPr>
      </w:pPr>
    </w:p>
    <w:p>
      <w:pPr>
        <w:spacing w:line="240" w:lineRule="exact"/>
        <w:rPr>
          <w:rFonts w:ascii="仿宋" w:hAnsi="仿宋" w:eastAsia="仿宋" w:cs="Times New Roman"/>
          <w:sz w:val="32"/>
          <w:szCs w:val="32"/>
        </w:rPr>
      </w:pPr>
    </w:p>
    <w:p>
      <w:pPr>
        <w:rPr>
          <w:rFonts w:ascii="仿宋" w:hAnsi="仿宋" w:eastAsia="仿宋" w:cs="Times New Roman"/>
          <w:sz w:val="32"/>
          <w:szCs w:val="32"/>
        </w:rPr>
      </w:pPr>
    </w:p>
    <w:sectPr>
      <w:footerReference r:id="rId3" w:type="default"/>
      <w:pgSz w:w="11906" w:h="16838"/>
      <w:pgMar w:top="1701" w:right="1418" w:bottom="1701" w:left="1418" w:header="851" w:footer="1701"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cs="宋体"/>
        <w:sz w:val="28"/>
        <w:szCs w:val="28"/>
      </w:rPr>
    </w:pPr>
    <w:r>
      <w:rPr>
        <w:rStyle w:val="11"/>
        <w:rFonts w:asci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cs="宋体"/>
        <w:sz w:val="28"/>
        <w:szCs w:val="28"/>
      </w:rPr>
      <w:t>-</w:t>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11487"/>
    <w:rsid w:val="00225AE6"/>
    <w:rsid w:val="00235F0F"/>
    <w:rsid w:val="00255783"/>
    <w:rsid w:val="002563F9"/>
    <w:rsid w:val="00290BA1"/>
    <w:rsid w:val="002A6AEA"/>
    <w:rsid w:val="002F2268"/>
    <w:rsid w:val="003C50C2"/>
    <w:rsid w:val="0041099F"/>
    <w:rsid w:val="00436A1D"/>
    <w:rsid w:val="004379D7"/>
    <w:rsid w:val="004755B3"/>
    <w:rsid w:val="004A68B1"/>
    <w:rsid w:val="004B336F"/>
    <w:rsid w:val="004B64F3"/>
    <w:rsid w:val="004E3B64"/>
    <w:rsid w:val="005020C5"/>
    <w:rsid w:val="00567FE6"/>
    <w:rsid w:val="0058162A"/>
    <w:rsid w:val="005B3616"/>
    <w:rsid w:val="005E12FA"/>
    <w:rsid w:val="005F1122"/>
    <w:rsid w:val="00683167"/>
    <w:rsid w:val="006A5056"/>
    <w:rsid w:val="006E64C9"/>
    <w:rsid w:val="007048FF"/>
    <w:rsid w:val="00712100"/>
    <w:rsid w:val="0071700D"/>
    <w:rsid w:val="00742652"/>
    <w:rsid w:val="00772600"/>
    <w:rsid w:val="007D5D41"/>
    <w:rsid w:val="007F01F9"/>
    <w:rsid w:val="00856BA1"/>
    <w:rsid w:val="00867620"/>
    <w:rsid w:val="008709E0"/>
    <w:rsid w:val="008A26A1"/>
    <w:rsid w:val="008A6A10"/>
    <w:rsid w:val="008A6A31"/>
    <w:rsid w:val="00904AF4"/>
    <w:rsid w:val="00905542"/>
    <w:rsid w:val="00913ECC"/>
    <w:rsid w:val="00917700"/>
    <w:rsid w:val="00956F74"/>
    <w:rsid w:val="009B0B5F"/>
    <w:rsid w:val="009C04DA"/>
    <w:rsid w:val="009C4C62"/>
    <w:rsid w:val="009C7DE6"/>
    <w:rsid w:val="009E3627"/>
    <w:rsid w:val="009F53E7"/>
    <w:rsid w:val="00A11BF8"/>
    <w:rsid w:val="00A14A33"/>
    <w:rsid w:val="00A6449D"/>
    <w:rsid w:val="00A768DB"/>
    <w:rsid w:val="00AA09C8"/>
    <w:rsid w:val="00AD5F30"/>
    <w:rsid w:val="00B0681D"/>
    <w:rsid w:val="00B32FBD"/>
    <w:rsid w:val="00B9023F"/>
    <w:rsid w:val="00B970E8"/>
    <w:rsid w:val="00BC1FDC"/>
    <w:rsid w:val="00BD0FD8"/>
    <w:rsid w:val="00C44804"/>
    <w:rsid w:val="00C6362A"/>
    <w:rsid w:val="00C81363"/>
    <w:rsid w:val="00CB27A5"/>
    <w:rsid w:val="00CD55ED"/>
    <w:rsid w:val="00CD63C0"/>
    <w:rsid w:val="00CE62A0"/>
    <w:rsid w:val="00D21F0C"/>
    <w:rsid w:val="00D366C1"/>
    <w:rsid w:val="00D877F7"/>
    <w:rsid w:val="00DB2D43"/>
    <w:rsid w:val="00DC15FF"/>
    <w:rsid w:val="00E266F1"/>
    <w:rsid w:val="00EB16A8"/>
    <w:rsid w:val="00EC7904"/>
    <w:rsid w:val="00ED69C1"/>
    <w:rsid w:val="00F72E93"/>
    <w:rsid w:val="00F87A11"/>
    <w:rsid w:val="00FB7E01"/>
    <w:rsid w:val="00FE5F4C"/>
    <w:rsid w:val="00FF39F6"/>
    <w:rsid w:val="05374814"/>
    <w:rsid w:val="0F8F6BFC"/>
    <w:rsid w:val="25463C46"/>
    <w:rsid w:val="25A21129"/>
    <w:rsid w:val="33734144"/>
    <w:rsid w:val="3791647A"/>
    <w:rsid w:val="39066D72"/>
    <w:rsid w:val="3B9F188C"/>
    <w:rsid w:val="3D4F4825"/>
    <w:rsid w:val="455969D8"/>
    <w:rsid w:val="4B04639A"/>
    <w:rsid w:val="526A3656"/>
    <w:rsid w:val="5A573769"/>
    <w:rsid w:val="5D643D56"/>
    <w:rsid w:val="69BD0A47"/>
    <w:rsid w:val="71A911C9"/>
    <w:rsid w:val="7CCC2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iPriority w:val="99"/>
    <w:pPr>
      <w:autoSpaceDE w:val="0"/>
      <w:autoSpaceDN w:val="0"/>
      <w:adjustRightInd w:val="0"/>
      <w:snapToGrid w:val="0"/>
      <w:spacing w:line="588" w:lineRule="atLeast"/>
    </w:pPr>
    <w:rPr>
      <w:rFonts w:ascii="宋体" w:hAnsi="宋体" w:eastAsia="仿宋_GB2312" w:cs="宋体"/>
      <w:spacing w:val="-2"/>
      <w:sz w:val="32"/>
      <w:szCs w:val="32"/>
    </w:rPr>
  </w:style>
  <w:style w:type="paragraph" w:styleId="4">
    <w:name w:val="Plain Text"/>
    <w:basedOn w:val="1"/>
    <w:link w:val="14"/>
    <w:qFormat/>
    <w:uiPriority w:val="99"/>
    <w:rPr>
      <w:rFonts w:ascii="宋体" w:hAnsi="Courier New" w:cs="宋体"/>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semiHidden/>
    <w:qFormat/>
    <w:uiPriority w:val="99"/>
  </w:style>
  <w:style w:type="character" w:customStyle="1" w:styleId="12">
    <w:name w:val="标题 1 字符"/>
    <w:basedOn w:val="9"/>
    <w:link w:val="2"/>
    <w:qFormat/>
    <w:locked/>
    <w:uiPriority w:val="99"/>
    <w:rPr>
      <w:rFonts w:ascii="宋体" w:hAnsi="宋体" w:eastAsia="宋体" w:cs="宋体"/>
      <w:b/>
      <w:bCs/>
      <w:kern w:val="44"/>
      <w:sz w:val="48"/>
      <w:szCs w:val="48"/>
    </w:rPr>
  </w:style>
  <w:style w:type="character" w:customStyle="1" w:styleId="13">
    <w:name w:val="正文文本 字符"/>
    <w:basedOn w:val="9"/>
    <w:link w:val="3"/>
    <w:semiHidden/>
    <w:qFormat/>
    <w:uiPriority w:val="99"/>
    <w:rPr>
      <w:rFonts w:ascii="Calibri" w:hAnsi="Calibri" w:cs="Calibri"/>
      <w:szCs w:val="21"/>
    </w:rPr>
  </w:style>
  <w:style w:type="character" w:customStyle="1" w:styleId="14">
    <w:name w:val="纯文本 字符"/>
    <w:basedOn w:val="9"/>
    <w:link w:val="4"/>
    <w:qFormat/>
    <w:locked/>
    <w:uiPriority w:val="99"/>
    <w:rPr>
      <w:rFonts w:ascii="宋体" w:hAnsi="Courier New" w:eastAsia="宋体" w:cs="宋体"/>
      <w:sz w:val="21"/>
      <w:szCs w:val="21"/>
    </w:rPr>
  </w:style>
  <w:style w:type="character" w:customStyle="1" w:styleId="15">
    <w:name w:val="页脚 字符"/>
    <w:basedOn w:val="9"/>
    <w:link w:val="5"/>
    <w:qFormat/>
    <w:locked/>
    <w:uiPriority w:val="99"/>
    <w:rPr>
      <w:sz w:val="18"/>
      <w:szCs w:val="18"/>
    </w:rPr>
  </w:style>
  <w:style w:type="character" w:customStyle="1" w:styleId="16">
    <w:name w:val="页眉 字符"/>
    <w:basedOn w:val="9"/>
    <w:link w:val="6"/>
    <w:qFormat/>
    <w:locked/>
    <w:uiPriority w:val="99"/>
    <w:rPr>
      <w:sz w:val="18"/>
      <w:szCs w:val="18"/>
    </w:rPr>
  </w:style>
  <w:style w:type="character" w:customStyle="1" w:styleId="17">
    <w:name w:val="font31"/>
    <w:basedOn w:val="9"/>
    <w:qFormat/>
    <w:uiPriority w:val="99"/>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798</Words>
  <Characters>4552</Characters>
  <Lines>37</Lines>
  <Paragraphs>10</Paragraphs>
  <TotalTime>1</TotalTime>
  <ScaleCrop>false</ScaleCrop>
  <LinksUpToDate>false</LinksUpToDate>
  <CharactersWithSpaces>5340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2021-05-18T01:37:00Z</dcterms:created>
  <dc:creator>Administrator</dc:creator>
  <cp:lastModifiedBy>不二臣</cp:lastModifiedBy>
  <cp:lastPrinted>2020-04-22T08:40:00Z</cp:lastPrinted>
  <dcterms:modified xsi:type="dcterms:W3CDTF">2025-04-08T08:53:15Z</dcterms:modified>
  <dc:title>部门整体支出绩效评价指标体系评分表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0220A53A9D57436F9C2BDF33D8F578EB</vt:lpwstr>
  </property>
</Properties>
</file>