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1256.81</w:t>
            </w:r>
          </w:p>
        </w:tc>
        <w:tc>
          <w:tcPr>
            <w:tcW w:w="4535" w:type="dxa"/>
            <w:vAlign w:val="center"/>
          </w:tcPr>
          <w:p>
            <w:pPr>
              <w:pStyle w:val="14"/>
            </w:pPr>
            <w:r>
              <w:t>一、一般公共服务支出</w:t>
            </w:r>
          </w:p>
        </w:tc>
        <w:tc>
          <w:tcPr>
            <w:tcW w:w="2126" w:type="dxa"/>
            <w:vAlign w:val="center"/>
          </w:tcPr>
          <w:p>
            <w:pPr>
              <w:pStyle w:val="13"/>
            </w:pPr>
            <w:r>
              <w:t>1066.17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38.41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1256.81</w:t>
            </w:r>
          </w:p>
        </w:tc>
        <w:tc>
          <w:tcPr>
            <w:tcW w:w="4535" w:type="dxa"/>
            <w:vAlign w:val="center"/>
          </w:tcPr>
          <w:p>
            <w:pPr>
              <w:pStyle w:val="16"/>
            </w:pPr>
            <w:r>
              <w:t>本年支出合计</w:t>
            </w:r>
          </w:p>
        </w:tc>
        <w:tc>
          <w:tcPr>
            <w:tcW w:w="2126" w:type="dxa"/>
            <w:vAlign w:val="center"/>
          </w:tcPr>
          <w:p>
            <w:pPr>
              <w:pStyle w:val="17"/>
            </w:pPr>
            <w:r>
              <w:t>1256.81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1256.81</w:t>
            </w:r>
          </w:p>
        </w:tc>
        <w:tc>
          <w:tcPr>
            <w:tcW w:w="4535" w:type="dxa"/>
            <w:vAlign w:val="center"/>
          </w:tcPr>
          <w:p>
            <w:pPr>
              <w:pStyle w:val="16"/>
            </w:pPr>
            <w:r>
              <w:t>支出总计</w:t>
            </w:r>
          </w:p>
        </w:tc>
        <w:tc>
          <w:tcPr>
            <w:tcW w:w="2126" w:type="dxa"/>
            <w:vAlign w:val="center"/>
          </w:tcPr>
          <w:p>
            <w:pPr>
              <w:pStyle w:val="17"/>
            </w:pPr>
            <w:r>
              <w:t>1256.81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1256.81</w:t>
            </w:r>
          </w:p>
        </w:tc>
        <w:tc>
          <w:tcPr>
            <w:tcW w:w="1134" w:type="dxa"/>
            <w:vAlign w:val="center"/>
          </w:tcPr>
          <w:p>
            <w:pPr>
              <w:pStyle w:val="17"/>
            </w:pPr>
            <w:r>
              <w:t>1256.81</w:t>
            </w:r>
          </w:p>
        </w:tc>
        <w:tc>
          <w:tcPr>
            <w:tcW w:w="1134" w:type="dxa"/>
            <w:vAlign w:val="center"/>
          </w:tcPr>
          <w:p>
            <w:pPr>
              <w:pStyle w:val="17"/>
            </w:pPr>
            <w:r>
              <w:t>1256.81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1066.17</w:t>
            </w:r>
          </w:p>
        </w:tc>
        <w:tc>
          <w:tcPr>
            <w:tcW w:w="1134" w:type="dxa"/>
            <w:vAlign w:val="center"/>
          </w:tcPr>
          <w:p>
            <w:pPr>
              <w:pStyle w:val="13"/>
            </w:pPr>
            <w:r>
              <w:t>1066.17</w:t>
            </w:r>
          </w:p>
        </w:tc>
        <w:tc>
          <w:tcPr>
            <w:tcW w:w="1134" w:type="dxa"/>
            <w:vAlign w:val="center"/>
          </w:tcPr>
          <w:p>
            <w:pPr>
              <w:pStyle w:val="13"/>
            </w:pPr>
            <w:r>
              <w:t>1066.17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1066.17</w:t>
            </w:r>
          </w:p>
        </w:tc>
        <w:tc>
          <w:tcPr>
            <w:tcW w:w="1134" w:type="dxa"/>
            <w:vAlign w:val="center"/>
          </w:tcPr>
          <w:p>
            <w:pPr>
              <w:pStyle w:val="13"/>
            </w:pPr>
            <w:r>
              <w:t>1066.17</w:t>
            </w:r>
          </w:p>
        </w:tc>
        <w:tc>
          <w:tcPr>
            <w:tcW w:w="1134" w:type="dxa"/>
            <w:vAlign w:val="center"/>
          </w:tcPr>
          <w:p>
            <w:pPr>
              <w:pStyle w:val="13"/>
            </w:pPr>
            <w:r>
              <w:t>1066.17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755.37</w:t>
            </w:r>
          </w:p>
        </w:tc>
        <w:tc>
          <w:tcPr>
            <w:tcW w:w="1134" w:type="dxa"/>
            <w:vAlign w:val="center"/>
          </w:tcPr>
          <w:p>
            <w:pPr>
              <w:pStyle w:val="13"/>
            </w:pPr>
            <w:r>
              <w:t>755.37</w:t>
            </w:r>
          </w:p>
        </w:tc>
        <w:tc>
          <w:tcPr>
            <w:tcW w:w="1134" w:type="dxa"/>
            <w:vAlign w:val="center"/>
          </w:tcPr>
          <w:p>
            <w:pPr>
              <w:pStyle w:val="13"/>
            </w:pPr>
            <w:r>
              <w:t>755.37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310.80</w:t>
            </w:r>
          </w:p>
        </w:tc>
        <w:tc>
          <w:tcPr>
            <w:tcW w:w="1134" w:type="dxa"/>
            <w:vAlign w:val="center"/>
          </w:tcPr>
          <w:p>
            <w:pPr>
              <w:pStyle w:val="13"/>
            </w:pPr>
            <w:r>
              <w:t>310.80</w:t>
            </w:r>
          </w:p>
        </w:tc>
        <w:tc>
          <w:tcPr>
            <w:tcW w:w="1134" w:type="dxa"/>
            <w:vAlign w:val="center"/>
          </w:tcPr>
          <w:p>
            <w:pPr>
              <w:pStyle w:val="13"/>
            </w:pPr>
            <w:r>
              <w:t>310.80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r>
              <w:t>83.46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r>
              <w:t>38.41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r>
              <w:t>68.77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1256.81</w:t>
            </w:r>
          </w:p>
        </w:tc>
        <w:tc>
          <w:tcPr>
            <w:tcW w:w="1361" w:type="dxa"/>
            <w:vAlign w:val="center"/>
          </w:tcPr>
          <w:p>
            <w:pPr>
              <w:pStyle w:val="17"/>
            </w:pPr>
            <w:r>
              <w:t>946.01</w:t>
            </w:r>
          </w:p>
        </w:tc>
        <w:tc>
          <w:tcPr>
            <w:tcW w:w="1361" w:type="dxa"/>
            <w:vAlign w:val="center"/>
          </w:tcPr>
          <w:p>
            <w:pPr>
              <w:pStyle w:val="17"/>
            </w:pPr>
            <w:r>
              <w:t>310.80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1066.17</w:t>
            </w:r>
          </w:p>
        </w:tc>
        <w:tc>
          <w:tcPr>
            <w:tcW w:w="1361" w:type="dxa"/>
            <w:vAlign w:val="center"/>
          </w:tcPr>
          <w:p>
            <w:pPr>
              <w:pStyle w:val="13"/>
            </w:pPr>
            <w:r>
              <w:t>755.37</w:t>
            </w:r>
          </w:p>
        </w:tc>
        <w:tc>
          <w:tcPr>
            <w:tcW w:w="1361" w:type="dxa"/>
            <w:vAlign w:val="center"/>
          </w:tcPr>
          <w:p>
            <w:pPr>
              <w:pStyle w:val="13"/>
            </w:pPr>
            <w:r>
              <w:t>310.80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1066.17</w:t>
            </w:r>
          </w:p>
        </w:tc>
        <w:tc>
          <w:tcPr>
            <w:tcW w:w="1361" w:type="dxa"/>
            <w:vAlign w:val="center"/>
          </w:tcPr>
          <w:p>
            <w:pPr>
              <w:pStyle w:val="13"/>
            </w:pPr>
            <w:r>
              <w:t>755.37</w:t>
            </w:r>
          </w:p>
        </w:tc>
        <w:tc>
          <w:tcPr>
            <w:tcW w:w="1361" w:type="dxa"/>
            <w:vAlign w:val="center"/>
          </w:tcPr>
          <w:p>
            <w:pPr>
              <w:pStyle w:val="13"/>
            </w:pPr>
            <w:r>
              <w:t>310.80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755.37</w:t>
            </w:r>
          </w:p>
        </w:tc>
        <w:tc>
          <w:tcPr>
            <w:tcW w:w="1361" w:type="dxa"/>
            <w:vAlign w:val="center"/>
          </w:tcPr>
          <w:p>
            <w:pPr>
              <w:pStyle w:val="13"/>
            </w:pPr>
            <w:r>
              <w:t>755.37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310.80</w:t>
            </w:r>
          </w:p>
        </w:tc>
        <w:tc>
          <w:tcPr>
            <w:tcW w:w="1361" w:type="dxa"/>
            <w:vAlign w:val="center"/>
          </w:tcPr>
          <w:p>
            <w:pPr>
              <w:pStyle w:val="13"/>
            </w:pPr>
          </w:p>
        </w:tc>
        <w:tc>
          <w:tcPr>
            <w:tcW w:w="1361" w:type="dxa"/>
            <w:vAlign w:val="center"/>
          </w:tcPr>
          <w:p>
            <w:pPr>
              <w:pStyle w:val="13"/>
            </w:pPr>
            <w:r>
              <w:t>310.80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83.46</w:t>
            </w:r>
          </w:p>
        </w:tc>
        <w:tc>
          <w:tcPr>
            <w:tcW w:w="1361" w:type="dxa"/>
            <w:vAlign w:val="center"/>
          </w:tcPr>
          <w:p>
            <w:pPr>
              <w:pStyle w:val="13"/>
            </w:pPr>
            <w:r>
              <w:t>83.46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83.46</w:t>
            </w:r>
          </w:p>
        </w:tc>
        <w:tc>
          <w:tcPr>
            <w:tcW w:w="1361" w:type="dxa"/>
            <w:vAlign w:val="center"/>
          </w:tcPr>
          <w:p>
            <w:pPr>
              <w:pStyle w:val="13"/>
            </w:pPr>
            <w:r>
              <w:t>83.46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83.46</w:t>
            </w:r>
          </w:p>
        </w:tc>
        <w:tc>
          <w:tcPr>
            <w:tcW w:w="1361" w:type="dxa"/>
            <w:vAlign w:val="center"/>
          </w:tcPr>
          <w:p>
            <w:pPr>
              <w:pStyle w:val="13"/>
            </w:pPr>
            <w:r>
              <w:t>83.46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38.41</w:t>
            </w:r>
          </w:p>
        </w:tc>
        <w:tc>
          <w:tcPr>
            <w:tcW w:w="1361" w:type="dxa"/>
            <w:vAlign w:val="center"/>
          </w:tcPr>
          <w:p>
            <w:pPr>
              <w:pStyle w:val="13"/>
            </w:pPr>
            <w:r>
              <w:t>38.41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38.41</w:t>
            </w:r>
          </w:p>
        </w:tc>
        <w:tc>
          <w:tcPr>
            <w:tcW w:w="1361" w:type="dxa"/>
            <w:vAlign w:val="center"/>
          </w:tcPr>
          <w:p>
            <w:pPr>
              <w:pStyle w:val="13"/>
            </w:pPr>
            <w:r>
              <w:t>38.41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38.41</w:t>
            </w:r>
          </w:p>
        </w:tc>
        <w:tc>
          <w:tcPr>
            <w:tcW w:w="1361" w:type="dxa"/>
            <w:vAlign w:val="center"/>
          </w:tcPr>
          <w:p>
            <w:pPr>
              <w:pStyle w:val="13"/>
            </w:pPr>
            <w:r>
              <w:t>38.41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68.77</w:t>
            </w:r>
          </w:p>
        </w:tc>
        <w:tc>
          <w:tcPr>
            <w:tcW w:w="1361" w:type="dxa"/>
            <w:vAlign w:val="center"/>
          </w:tcPr>
          <w:p>
            <w:pPr>
              <w:pStyle w:val="13"/>
            </w:pPr>
            <w:r>
              <w:t>68.77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68.77</w:t>
            </w:r>
          </w:p>
        </w:tc>
        <w:tc>
          <w:tcPr>
            <w:tcW w:w="1361" w:type="dxa"/>
            <w:vAlign w:val="center"/>
          </w:tcPr>
          <w:p>
            <w:pPr>
              <w:pStyle w:val="13"/>
            </w:pPr>
            <w:r>
              <w:t>68.77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68.77</w:t>
            </w:r>
          </w:p>
        </w:tc>
        <w:tc>
          <w:tcPr>
            <w:tcW w:w="1361" w:type="dxa"/>
            <w:vAlign w:val="center"/>
          </w:tcPr>
          <w:p>
            <w:pPr>
              <w:pStyle w:val="13"/>
            </w:pPr>
            <w:r>
              <w:t>68.77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1256.81</w:t>
            </w:r>
          </w:p>
        </w:tc>
        <w:tc>
          <w:tcPr>
            <w:tcW w:w="3402" w:type="dxa"/>
            <w:vAlign w:val="center"/>
          </w:tcPr>
          <w:p>
            <w:pPr>
              <w:pStyle w:val="14"/>
            </w:pPr>
            <w:r>
              <w:t>一、一般公共服务支出</w:t>
            </w:r>
          </w:p>
        </w:tc>
        <w:tc>
          <w:tcPr>
            <w:tcW w:w="1474" w:type="dxa"/>
            <w:vAlign w:val="center"/>
          </w:tcPr>
          <w:p>
            <w:pPr>
              <w:pStyle w:val="13"/>
            </w:pPr>
            <w:r>
              <w:t>1066.17</w:t>
            </w:r>
          </w:p>
        </w:tc>
        <w:tc>
          <w:tcPr>
            <w:tcW w:w="1474" w:type="dxa"/>
            <w:vAlign w:val="center"/>
          </w:tcPr>
          <w:p>
            <w:pPr>
              <w:pStyle w:val="13"/>
            </w:pPr>
            <w:r>
              <w:t>1066.17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83.46</w:t>
            </w:r>
          </w:p>
        </w:tc>
        <w:tc>
          <w:tcPr>
            <w:tcW w:w="1474" w:type="dxa"/>
            <w:vAlign w:val="center"/>
          </w:tcPr>
          <w:p>
            <w:pPr>
              <w:pStyle w:val="13"/>
            </w:pPr>
            <w:r>
              <w:t>83.46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38.41</w:t>
            </w:r>
          </w:p>
        </w:tc>
        <w:tc>
          <w:tcPr>
            <w:tcW w:w="1474" w:type="dxa"/>
            <w:vAlign w:val="center"/>
          </w:tcPr>
          <w:p>
            <w:pPr>
              <w:pStyle w:val="13"/>
            </w:pPr>
            <w:r>
              <w:t>38.41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68.77</w:t>
            </w:r>
          </w:p>
        </w:tc>
        <w:tc>
          <w:tcPr>
            <w:tcW w:w="1474" w:type="dxa"/>
            <w:vAlign w:val="center"/>
          </w:tcPr>
          <w:p>
            <w:pPr>
              <w:pStyle w:val="13"/>
            </w:pPr>
            <w:r>
              <w:t>68.77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1256.81</w:t>
            </w:r>
          </w:p>
        </w:tc>
        <w:tc>
          <w:tcPr>
            <w:tcW w:w="3402" w:type="dxa"/>
            <w:vAlign w:val="center"/>
          </w:tcPr>
          <w:p>
            <w:pPr>
              <w:pStyle w:val="16"/>
            </w:pPr>
            <w:r>
              <w:t>本年支出合计</w:t>
            </w:r>
          </w:p>
        </w:tc>
        <w:tc>
          <w:tcPr>
            <w:tcW w:w="1474" w:type="dxa"/>
            <w:vAlign w:val="center"/>
          </w:tcPr>
          <w:p>
            <w:pPr>
              <w:pStyle w:val="17"/>
            </w:pPr>
            <w:r>
              <w:t>1256.81</w:t>
            </w:r>
          </w:p>
        </w:tc>
        <w:tc>
          <w:tcPr>
            <w:tcW w:w="1474" w:type="dxa"/>
            <w:vAlign w:val="center"/>
          </w:tcPr>
          <w:p>
            <w:pPr>
              <w:pStyle w:val="17"/>
            </w:pPr>
            <w:r>
              <w:t>1256.81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1256.81</w:t>
            </w:r>
          </w:p>
        </w:tc>
        <w:tc>
          <w:tcPr>
            <w:tcW w:w="3402" w:type="dxa"/>
            <w:vAlign w:val="center"/>
          </w:tcPr>
          <w:p>
            <w:pPr>
              <w:pStyle w:val="16"/>
            </w:pPr>
            <w:r>
              <w:t>支出总计</w:t>
            </w:r>
          </w:p>
        </w:tc>
        <w:tc>
          <w:tcPr>
            <w:tcW w:w="1474" w:type="dxa"/>
            <w:vAlign w:val="center"/>
          </w:tcPr>
          <w:p>
            <w:pPr>
              <w:pStyle w:val="17"/>
            </w:pPr>
            <w:r>
              <w:t>1256.81</w:t>
            </w:r>
          </w:p>
        </w:tc>
        <w:tc>
          <w:tcPr>
            <w:tcW w:w="1474" w:type="dxa"/>
            <w:vAlign w:val="center"/>
          </w:tcPr>
          <w:p>
            <w:pPr>
              <w:pStyle w:val="17"/>
            </w:pPr>
            <w:r>
              <w:t>1256.81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1256.81</w:t>
            </w:r>
          </w:p>
        </w:tc>
        <w:tc>
          <w:tcPr>
            <w:tcW w:w="2551" w:type="dxa"/>
            <w:vAlign w:val="center"/>
          </w:tcPr>
          <w:p>
            <w:pPr>
              <w:pStyle w:val="17"/>
            </w:pPr>
            <w:r>
              <w:t>946.01</w:t>
            </w:r>
          </w:p>
        </w:tc>
        <w:tc>
          <w:tcPr>
            <w:tcW w:w="2551" w:type="dxa"/>
            <w:vAlign w:val="center"/>
          </w:tcPr>
          <w:p>
            <w:pPr>
              <w:pStyle w:val="17"/>
            </w:pPr>
            <w:r>
              <w:t>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1066.17</w:t>
            </w:r>
          </w:p>
        </w:tc>
        <w:tc>
          <w:tcPr>
            <w:tcW w:w="2551" w:type="dxa"/>
            <w:vAlign w:val="center"/>
          </w:tcPr>
          <w:p>
            <w:pPr>
              <w:pStyle w:val="13"/>
            </w:pPr>
            <w:r>
              <w:t>755.37</w:t>
            </w:r>
          </w:p>
        </w:tc>
        <w:tc>
          <w:tcPr>
            <w:tcW w:w="2551" w:type="dxa"/>
            <w:vAlign w:val="center"/>
          </w:tcPr>
          <w:p>
            <w:pPr>
              <w:pStyle w:val="13"/>
            </w:pPr>
            <w:r>
              <w:t>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1066.17</w:t>
            </w:r>
          </w:p>
        </w:tc>
        <w:tc>
          <w:tcPr>
            <w:tcW w:w="2551" w:type="dxa"/>
            <w:vAlign w:val="center"/>
          </w:tcPr>
          <w:p>
            <w:pPr>
              <w:pStyle w:val="13"/>
            </w:pPr>
            <w:r>
              <w:t>755.37</w:t>
            </w:r>
          </w:p>
        </w:tc>
        <w:tc>
          <w:tcPr>
            <w:tcW w:w="2551" w:type="dxa"/>
            <w:vAlign w:val="center"/>
          </w:tcPr>
          <w:p>
            <w:pPr>
              <w:pStyle w:val="13"/>
            </w:pPr>
            <w:r>
              <w:t>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755.37</w:t>
            </w:r>
          </w:p>
        </w:tc>
        <w:tc>
          <w:tcPr>
            <w:tcW w:w="2551" w:type="dxa"/>
            <w:vAlign w:val="center"/>
          </w:tcPr>
          <w:p>
            <w:pPr>
              <w:pStyle w:val="13"/>
            </w:pPr>
            <w:r>
              <w:t>755.37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310.80</w:t>
            </w:r>
          </w:p>
        </w:tc>
        <w:tc>
          <w:tcPr>
            <w:tcW w:w="2551" w:type="dxa"/>
            <w:vAlign w:val="center"/>
          </w:tcPr>
          <w:p>
            <w:pPr>
              <w:pStyle w:val="13"/>
            </w:pPr>
          </w:p>
        </w:tc>
        <w:tc>
          <w:tcPr>
            <w:tcW w:w="2551" w:type="dxa"/>
            <w:vAlign w:val="center"/>
          </w:tcPr>
          <w:p>
            <w:pPr>
              <w:pStyle w:val="13"/>
            </w:pPr>
            <w:r>
              <w:t>310.80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83.46</w:t>
            </w:r>
          </w:p>
        </w:tc>
        <w:tc>
          <w:tcPr>
            <w:tcW w:w="2551" w:type="dxa"/>
            <w:vAlign w:val="center"/>
          </w:tcPr>
          <w:p>
            <w:pPr>
              <w:pStyle w:val="13"/>
            </w:pPr>
            <w:r>
              <w:t>83.46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83.46</w:t>
            </w:r>
          </w:p>
        </w:tc>
        <w:tc>
          <w:tcPr>
            <w:tcW w:w="2551" w:type="dxa"/>
            <w:vAlign w:val="center"/>
          </w:tcPr>
          <w:p>
            <w:pPr>
              <w:pStyle w:val="13"/>
            </w:pPr>
            <w:r>
              <w:t>83.46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83.46</w:t>
            </w:r>
          </w:p>
        </w:tc>
        <w:tc>
          <w:tcPr>
            <w:tcW w:w="2551" w:type="dxa"/>
            <w:vAlign w:val="center"/>
          </w:tcPr>
          <w:p>
            <w:pPr>
              <w:pStyle w:val="13"/>
            </w:pPr>
            <w:r>
              <w:t>83.46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68.77</w:t>
            </w:r>
          </w:p>
        </w:tc>
        <w:tc>
          <w:tcPr>
            <w:tcW w:w="2551" w:type="dxa"/>
            <w:vAlign w:val="center"/>
          </w:tcPr>
          <w:p>
            <w:pPr>
              <w:pStyle w:val="13"/>
            </w:pPr>
            <w:r>
              <w:t>68.77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68.77</w:t>
            </w:r>
          </w:p>
        </w:tc>
        <w:tc>
          <w:tcPr>
            <w:tcW w:w="2551" w:type="dxa"/>
            <w:vAlign w:val="center"/>
          </w:tcPr>
          <w:p>
            <w:pPr>
              <w:pStyle w:val="13"/>
            </w:pPr>
            <w:r>
              <w:t>68.77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68.77</w:t>
            </w:r>
          </w:p>
        </w:tc>
        <w:tc>
          <w:tcPr>
            <w:tcW w:w="2551" w:type="dxa"/>
            <w:vAlign w:val="center"/>
          </w:tcPr>
          <w:p>
            <w:pPr>
              <w:pStyle w:val="13"/>
            </w:pPr>
            <w:r>
              <w:t>68.77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946.01</w:t>
            </w:r>
          </w:p>
        </w:tc>
        <w:tc>
          <w:tcPr>
            <w:tcW w:w="2551" w:type="dxa"/>
            <w:vAlign w:val="center"/>
          </w:tcPr>
          <w:p>
            <w:pPr>
              <w:pStyle w:val="17"/>
            </w:pPr>
            <w:r>
              <w:t>857.04</w:t>
            </w:r>
          </w:p>
        </w:tc>
        <w:tc>
          <w:tcPr>
            <w:tcW w:w="2551" w:type="dxa"/>
            <w:vAlign w:val="center"/>
          </w:tcPr>
          <w:p>
            <w:pPr>
              <w:pStyle w:val="17"/>
            </w:pPr>
            <w:r>
              <w:t>88.97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852.26</w:t>
            </w:r>
          </w:p>
        </w:tc>
        <w:tc>
          <w:tcPr>
            <w:tcW w:w="2551" w:type="dxa"/>
            <w:vAlign w:val="center"/>
          </w:tcPr>
          <w:p>
            <w:pPr>
              <w:pStyle w:val="13"/>
            </w:pPr>
            <w:r>
              <w:t>852.26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288.68</w:t>
            </w:r>
          </w:p>
        </w:tc>
        <w:tc>
          <w:tcPr>
            <w:tcW w:w="2551" w:type="dxa"/>
            <w:vAlign w:val="center"/>
          </w:tcPr>
          <w:p>
            <w:pPr>
              <w:pStyle w:val="13"/>
            </w:pPr>
            <w:r>
              <w:t>288.68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114.96</w:t>
            </w:r>
          </w:p>
        </w:tc>
        <w:tc>
          <w:tcPr>
            <w:tcW w:w="2551" w:type="dxa"/>
            <w:vAlign w:val="center"/>
          </w:tcPr>
          <w:p>
            <w:pPr>
              <w:pStyle w:val="13"/>
            </w:pPr>
            <w:r>
              <w:t>114.96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117.69</w:t>
            </w:r>
          </w:p>
        </w:tc>
        <w:tc>
          <w:tcPr>
            <w:tcW w:w="2551" w:type="dxa"/>
            <w:vAlign w:val="center"/>
          </w:tcPr>
          <w:p>
            <w:pPr>
              <w:pStyle w:val="13"/>
            </w:pPr>
            <w:r>
              <w:t>117.69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61.54</w:t>
            </w:r>
          </w:p>
        </w:tc>
        <w:tc>
          <w:tcPr>
            <w:tcW w:w="2551" w:type="dxa"/>
            <w:vAlign w:val="center"/>
          </w:tcPr>
          <w:p>
            <w:pPr>
              <w:pStyle w:val="13"/>
            </w:pPr>
            <w:r>
              <w:t>61.54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83.46</w:t>
            </w:r>
          </w:p>
        </w:tc>
        <w:tc>
          <w:tcPr>
            <w:tcW w:w="2551" w:type="dxa"/>
            <w:vAlign w:val="center"/>
          </w:tcPr>
          <w:p>
            <w:pPr>
              <w:pStyle w:val="13"/>
            </w:pPr>
            <w:r>
              <w:t>83.46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38.41</w:t>
            </w:r>
          </w:p>
        </w:tc>
        <w:tc>
          <w:tcPr>
            <w:tcW w:w="2551" w:type="dxa"/>
            <w:vAlign w:val="center"/>
          </w:tcPr>
          <w:p>
            <w:pPr>
              <w:pStyle w:val="13"/>
            </w:pPr>
            <w:r>
              <w:t>38.41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68.77</w:t>
            </w:r>
          </w:p>
        </w:tc>
        <w:tc>
          <w:tcPr>
            <w:tcW w:w="2551" w:type="dxa"/>
            <w:vAlign w:val="center"/>
          </w:tcPr>
          <w:p>
            <w:pPr>
              <w:pStyle w:val="13"/>
            </w:pPr>
            <w:r>
              <w:t>68.77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78.75</w:t>
            </w:r>
          </w:p>
        </w:tc>
        <w:tc>
          <w:tcPr>
            <w:tcW w:w="2551" w:type="dxa"/>
            <w:vAlign w:val="center"/>
          </w:tcPr>
          <w:p>
            <w:pPr>
              <w:pStyle w:val="13"/>
            </w:pPr>
            <w:r>
              <w:t>78.75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88.97</w:t>
            </w:r>
          </w:p>
        </w:tc>
        <w:tc>
          <w:tcPr>
            <w:tcW w:w="2551" w:type="dxa"/>
            <w:vAlign w:val="center"/>
          </w:tcPr>
          <w:p>
            <w:pPr>
              <w:pStyle w:val="13"/>
            </w:pPr>
          </w:p>
        </w:tc>
        <w:tc>
          <w:tcPr>
            <w:tcW w:w="2551" w:type="dxa"/>
            <w:vAlign w:val="center"/>
          </w:tcPr>
          <w:p>
            <w:pPr>
              <w:pStyle w:val="13"/>
            </w:pPr>
            <w:r>
              <w:t>88.97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12.96</w:t>
            </w:r>
          </w:p>
        </w:tc>
        <w:tc>
          <w:tcPr>
            <w:tcW w:w="2551" w:type="dxa"/>
            <w:vAlign w:val="center"/>
          </w:tcPr>
          <w:p>
            <w:pPr>
              <w:pStyle w:val="13"/>
            </w:pPr>
          </w:p>
        </w:tc>
        <w:tc>
          <w:tcPr>
            <w:tcW w:w="2551" w:type="dxa"/>
            <w:vAlign w:val="center"/>
          </w:tcPr>
          <w:p>
            <w:pPr>
              <w:pStyle w:val="13"/>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5.77</w:t>
            </w:r>
          </w:p>
        </w:tc>
        <w:tc>
          <w:tcPr>
            <w:tcW w:w="2551" w:type="dxa"/>
            <w:vAlign w:val="center"/>
          </w:tcPr>
          <w:p>
            <w:pPr>
              <w:pStyle w:val="13"/>
            </w:pPr>
          </w:p>
        </w:tc>
        <w:tc>
          <w:tcPr>
            <w:tcW w:w="2551" w:type="dxa"/>
            <w:vAlign w:val="center"/>
          </w:tcPr>
          <w:p>
            <w:pPr>
              <w:pStyle w:val="13"/>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7.22</w:t>
            </w:r>
          </w:p>
        </w:tc>
        <w:tc>
          <w:tcPr>
            <w:tcW w:w="2551" w:type="dxa"/>
            <w:vAlign w:val="center"/>
          </w:tcPr>
          <w:p>
            <w:pPr>
              <w:pStyle w:val="13"/>
            </w:pPr>
          </w:p>
        </w:tc>
        <w:tc>
          <w:tcPr>
            <w:tcW w:w="2551" w:type="dxa"/>
            <w:vAlign w:val="center"/>
          </w:tcPr>
          <w:p>
            <w:pPr>
              <w:pStyle w:val="13"/>
            </w:pPr>
            <w: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32.02</w:t>
            </w:r>
          </w:p>
        </w:tc>
        <w:tc>
          <w:tcPr>
            <w:tcW w:w="2551" w:type="dxa"/>
            <w:vAlign w:val="center"/>
          </w:tcPr>
          <w:p>
            <w:pPr>
              <w:pStyle w:val="13"/>
            </w:pPr>
          </w:p>
        </w:tc>
        <w:tc>
          <w:tcPr>
            <w:tcW w:w="2551" w:type="dxa"/>
            <w:vAlign w:val="center"/>
          </w:tcPr>
          <w:p>
            <w:pPr>
              <w:pStyle w:val="13"/>
            </w:pPr>
            <w:r>
              <w:t>32.02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4.78</w:t>
            </w:r>
          </w:p>
        </w:tc>
        <w:tc>
          <w:tcPr>
            <w:tcW w:w="2551" w:type="dxa"/>
            <w:vAlign w:val="center"/>
          </w:tcPr>
          <w:p>
            <w:pPr>
              <w:pStyle w:val="13"/>
            </w:pPr>
            <w:r>
              <w:t>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3.12</w:t>
            </w:r>
          </w:p>
        </w:tc>
        <w:tc>
          <w:tcPr>
            <w:tcW w:w="2551" w:type="dxa"/>
            <w:vAlign w:val="center"/>
          </w:tcPr>
          <w:p>
            <w:pPr>
              <w:pStyle w:val="13"/>
            </w:pPr>
            <w:r>
              <w:t>3.12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37.50</w:t>
            </w:r>
          </w:p>
        </w:tc>
        <w:tc>
          <w:tcPr>
            <w:tcW w:w="2381" w:type="dxa"/>
            <w:vAlign w:val="center"/>
          </w:tcPr>
          <w:p>
            <w:pPr>
              <w:pStyle w:val="17"/>
            </w:pPr>
            <w:r>
              <w:t>37.50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rPr>
                <w:rFonts w:hint="default" w:eastAsia="方正书宋_GBK"/>
                <w:lang w:val="en-US" w:eastAsia="zh-CN"/>
              </w:rPr>
            </w:pPr>
            <w:r>
              <w:rPr>
                <w:rFonts w:hint="eastAsia"/>
                <w:lang w:val="en-US" w:eastAsia="zh-CN"/>
              </w:rPr>
              <w:t>37.50</w:t>
            </w:r>
          </w:p>
        </w:tc>
        <w:tc>
          <w:tcPr>
            <w:tcW w:w="2381" w:type="dxa"/>
            <w:vAlign w:val="center"/>
          </w:tcPr>
          <w:p>
            <w:pPr>
              <w:pStyle w:val="13"/>
              <w:rPr>
                <w:rFonts w:hint="default" w:eastAsia="方正书宋_GBK"/>
                <w:lang w:val="en-US" w:eastAsia="zh-CN"/>
              </w:rPr>
            </w:pPr>
            <w:r>
              <w:rPr>
                <w:rFonts w:hint="eastAsia"/>
                <w:lang w:val="en-US" w:eastAsia="zh-CN"/>
              </w:rPr>
              <w:t>37.50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24.00</w:t>
            </w:r>
          </w:p>
        </w:tc>
        <w:tc>
          <w:tcPr>
            <w:tcW w:w="2381" w:type="dxa"/>
            <w:vAlign w:val="center"/>
          </w:tcPr>
          <w:p>
            <w:pPr>
              <w:pStyle w:val="13"/>
            </w:pPr>
            <w:r>
              <w:t>24.00</w:t>
            </w: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13.50</w:t>
            </w:r>
          </w:p>
        </w:tc>
        <w:tc>
          <w:tcPr>
            <w:tcW w:w="2381" w:type="dxa"/>
            <w:vAlign w:val="center"/>
          </w:tcPr>
          <w:p>
            <w:pPr>
              <w:pStyle w:val="13"/>
            </w:pPr>
            <w:r>
              <w:t>13.50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bookmarkStart w:id="1" w:name="_GoBack"/>
      <w:bookmarkEnd w:id="1"/>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、《地方预决算公开操作规程》和《关于进一步推进预算公开工作的实施意见》规定，现将沙河市人民政府办公室本级2023年单位预算公开如下：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协助市政府领导组织起草或审核上报邢台市政府、邢台市政府办公室和致函邢台市政府各部门、各县（市、区）的公文，以及以市政府、市政府办公室名义发布的公文；负责市政府、市政府办公室日常公文办理，包括邢台市政府、邢台市政府办公室和邢台市各部门、各县（市、区）来文办理，市政府各部门和各乡镇政府、街道办事处来文办理。</w:t>
      </w:r>
    </w:p>
    <w:p>
      <w:pPr>
        <w:pStyle w:val="27"/>
      </w:pPr>
      <w:r>
        <w:t>（二）负责市政府领导活动的组织和协调工作；负责市政府会议的准备和服务工作，协助市政府领导组织落实会议决定事项。</w:t>
      </w:r>
    </w:p>
    <w:p>
      <w:pPr>
        <w:pStyle w:val="27"/>
      </w:pPr>
      <w:r>
        <w:t>（三）研究市政府各部门和各乡镇政府、街道办事处请示市政府的事项，提出审核意见，报市政府领导审批。</w:t>
      </w:r>
    </w:p>
    <w:p>
      <w:pPr>
        <w:pStyle w:val="27"/>
      </w:pPr>
      <w:r>
        <w:t>（四）根据市政府领导的批示，对市政府各部门间出现的争议问题提出处理意见，报市政府领导决定。</w:t>
      </w:r>
    </w:p>
    <w:p>
      <w:pPr>
        <w:pStyle w:val="27"/>
      </w:pPr>
      <w:r>
        <w:t>（五）组织起草市政府领导重要讲话及其他重要文稿。</w:t>
      </w:r>
    </w:p>
    <w:p>
      <w:pPr>
        <w:pStyle w:val="27"/>
      </w:pPr>
      <w:r>
        <w:t>（六）督促检查市政府各部门和各乡镇政府、街道办事处对市政府决定事项，以及市政府领导重要批示的执行落实情况并跟踪、督办、调研，及时向市政府领导报告。</w:t>
      </w:r>
    </w:p>
    <w:p>
      <w:pPr>
        <w:pStyle w:val="27"/>
      </w:pPr>
      <w:r>
        <w:t>（七）负责上级党委、政府重要文件及领导批示件涉及我市政府系统落实事项，市委主要领导批示件和市委常委会会议决定、市委专题会议议定的涉及市政府系统落实事项的督办、汇总、反馈工作。</w:t>
      </w:r>
    </w:p>
    <w:p>
      <w:pPr>
        <w:pStyle w:val="27"/>
      </w:pPr>
      <w:r>
        <w:t>（八）组织承办人大代表建议和政协提案工作。</w:t>
      </w:r>
    </w:p>
    <w:p>
      <w:pPr>
        <w:pStyle w:val="27"/>
      </w:pPr>
      <w:r>
        <w:t>（九）负责承办市政府提请市人大常委会任免议案和提请市政府任免人员的行政任免手续；负责承办市政府任命工作人员的宪法宣誓工作。</w:t>
      </w:r>
    </w:p>
    <w:p>
      <w:pPr>
        <w:pStyle w:val="27"/>
      </w:pPr>
      <w:r>
        <w:t>（十）负责市政府值班工作，及时报告重要情况，传达和督促落实市政府领导工作要求。</w:t>
      </w:r>
    </w:p>
    <w:p>
      <w:pPr>
        <w:pStyle w:val="27"/>
      </w:pPr>
      <w:r>
        <w:t>（十一）根据市政府工作部署和市政府领导要求，组织专题调研，及时反映情况，提出建议。</w:t>
      </w:r>
    </w:p>
    <w:p>
      <w:pPr>
        <w:pStyle w:val="27"/>
      </w:pPr>
      <w:r>
        <w:t>（十二）负责推进、指导、协调、监督、考核评估全市政务公开和政府信息公开工作。</w:t>
      </w:r>
    </w:p>
    <w:p>
      <w:pPr>
        <w:pStyle w:val="27"/>
      </w:pPr>
      <w:r>
        <w:t>（十三）负责政务信息（包括舆情信息）服务工作。</w:t>
      </w:r>
    </w:p>
    <w:p>
      <w:pPr>
        <w:pStyle w:val="27"/>
      </w:pPr>
      <w:r>
        <w:t>（十四）协同有关部门统筹协调市政府新闻宣传、舆情回应等工作。</w:t>
      </w:r>
    </w:p>
    <w:p>
      <w:pPr>
        <w:pStyle w:val="27"/>
      </w:pPr>
      <w:r>
        <w:t>（十五）负责全市政府系统电子政务工作。</w:t>
      </w:r>
    </w:p>
    <w:p>
      <w:pPr>
        <w:pStyle w:val="27"/>
      </w:pPr>
      <w:r>
        <w:t>（十六）负责指导全市机关事务管理工作。</w:t>
      </w:r>
    </w:p>
    <w:p>
      <w:pPr>
        <w:pStyle w:val="27"/>
      </w:pPr>
      <w:r>
        <w:t>（十七）负责对人民群众通过电话反映的市政府及政府各部门存在的问题、直接影响群众生活的应由市政府及有关职能部门协调解决的问题和其他带有普遍性、倾向性、苗头性的重要问题进行受理、登记、呈交、督促、反馈。</w:t>
      </w:r>
    </w:p>
    <w:p>
      <w:pPr>
        <w:pStyle w:val="27"/>
      </w:pPr>
      <w:r>
        <w:t>（十八）负责市政府公务接待工作；做好市政府办公室有关行政事务工作；负责市政府办公室所属单位的管理工作。</w:t>
      </w:r>
    </w:p>
    <w:p>
      <w:pPr>
        <w:pStyle w:val="27"/>
      </w:pPr>
      <w:r>
        <w:t>（十九）负责指导全市地方志编研工作。</w:t>
      </w:r>
    </w:p>
    <w:p>
      <w:pPr>
        <w:pStyle w:val="27"/>
      </w:pPr>
      <w:r>
        <w:t>（二十）负责市政府机关的档案管理、印信管理和保密工作。</w:t>
      </w:r>
    </w:p>
    <w:p>
      <w:pPr>
        <w:pStyle w:val="27"/>
      </w:pPr>
      <w:r>
        <w:t>（二十一）贯彻落实党中央、省委、邢台市委及我市市委关于外事和港澳工作的方针政策和决策部署，坚持和加强党对外事和港澳工作的集中统一领导。拟订全市性外事、港澳工作规定。贯彻执行和协调推进全市对外交流合作规划和部署，对全市外事工作履行综合归口管理职能。承担我市涉港澳事务综合性工作，指导我市与港澳的交往。承办市领导对外交往事宜，会同有关部门推动全市各领域对外交往。负责指导和管理全市因公出国、赴港澳工作。负责重要外宾邀请、报批工作，组织接待来访的党宾、国宾、政要等重要外宾及外国驻华外交人员。负责我市境外机构和公民领事保护协调工作，统筹管理我市邀请外国人来华签证工作，会同或配合有关部门处理我市的涉外事务。办理来我市采访的外国记者相关事务，会同有关部门办理港澳记者来我市采访的有关事宜，会同有关部门开展对外宣传工作。统筹协调全市友好城市工作。</w:t>
      </w:r>
    </w:p>
    <w:p>
      <w:pPr>
        <w:pStyle w:val="27"/>
      </w:pPr>
      <w:r>
        <w:t>（二十二）根据市委、市政府工作部署，承担或参与重要政策的调查研究工作。根据市政府工作部署，单独或组织、协同有关方面起草、修改市政府有关重要文件、报告、讲话。负责《政府工作报告》的起草与组织协调工作。对我市改革开放和经济社会发展中重大问题进行调查研究，提出政策性建议。组织市政府各部门和各乡镇政府、街道办事处围绕市委、市政府确定的重要课题协作攻关。对市内外经济形势跟踪研究，收集、分析、整理、研判和报送经济社会发展中重要信息、动态，为市政府决策提供建议和咨询。</w:t>
      </w:r>
    </w:p>
    <w:p>
      <w:pPr>
        <w:pStyle w:val="27"/>
      </w:pPr>
      <w:r>
        <w:t>（二十三）贯彻执行国家、省、邢台市金融方针政策和法律法规。研究拟订全市金融业发展规划和政策，提出促进和加强金融业发展的建议。按照全市经济社会发展战略规划，协调引导各类金融机构支持服务实体经济发展。协调、配合中央驻沙金融监管部门依法加强金融监管，整顿和规范金融市场秩序。负责联系中央驻沙金融监管部门和驻沙金融机构，协调做好金融运行中涉及地方政府配合的相关工作。协调引进金融机构，为入驻金融机构提供帮办服务。协调推进金融服务民生、金融生态环境、金融信用体系建设。落实金融改革创新发展政策，并组织实施。组织协调新设立的地方法人金融机构的谋划、筹建、申报等前期工作。承担市属金融机构的业务指导和改革发展工作。统筹指导全市地方金融法治建设。负责拟订多层次资本市场培育、改革发展的政策措施。协调推动、培育推荐企业挂牌上市，牵头全市直接融资工作。统筹负责全市地方金融监督管理工作。按照权限，协助上级做好小额贷款公司、融资担保公司、区域性股权市场、典当行、融资租赁公司、商业保理公司、地方资产管理公司等地方金融组织的市场准入工作、监督管理和风险处置工作。指导协调有关部门、乡镇政府及街道办事处和开发区做好投资公司、理财公司、财富公司、开展信用互助的农民专业合作社、社会众筹机构、地方各类交易场所的规范发展、风险处置、信访稳定和舆情等工作，严格准入管理，规范经营范围。统筹协调互联网金融、基金等金融业态的监督管理和风险处置工作，按照权限，协调组织做好网络借贷信息中介机构的备案登记工作。协调有关部门依法做好防范和处置非法集资工作，负责开展相关宣传教育、政策解释和业务指导工作。协调组织有关部门做好地方金融消费者权益保护工作。协调组织全市金融风险防范和处置化解工作。指导协调有关部门、乡镇政府及街道办事处和开发区做好地方金融风险监测、信息报告工作，推进地方科技金融发展，创新地方金融监管方式。协调配合有关部门依法做好非法金融案件调查处理、善后处置和维护金融稳定工作。</w:t>
      </w:r>
    </w:p>
    <w:p>
      <w:pPr>
        <w:pStyle w:val="27"/>
      </w:pPr>
      <w:r>
        <w:t>（二十四）贯彻党和国家、省、市人民防空方针政策，落实人民防空法律法规和规章。制定全市人民防空规范性文件。拟订全市人民防空发展规划，编制人民防空工作年度计划并督导落实。与发展和改革主管部门共同负责协调有关部门编制重要经济目标防护建设总体规划。参与管理城市地下空间开发利用规划编制工作。编制人民防空建设规划。组织编制人民防空工程、人口疏散地域（基地）、人民防空信息化等规划并督导落实。审核城市总体规划中人民防空内容。贯彻国家人民防空城市等级划分标准，落实防护建设要求。负责人民防空工程建设计划、技术、质量管理、竣工验收及备案管理工作，负责人民防空工程维护与使用管理，指导城市地下空间开发利用落实兼顾人民防空要求。负责组织市区战时人口疏散地域（基地）建设。负责市区利用人民防空工程和人口疏散地域（基地）建设防灾应急避难场所。指导重要经济目标单位落实防护建设要求。制定市人民防空指挥部服务保障计划并负责日常工作，负责市级指挥场所和设施设备建设、使用和管理，拟订市级防空计划方案。建设人民防空指挥体系和制定防空计划方案。组织指导群众防空组织建设。组织开展全市人民防空信息化建设，建设、使用、维护和管理人民防空信息系统。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负责编制本级人民防空预、决算。组织开展本级人民防空建设项目内部审计。负责人民防空国有资产管理。编制人民防空科研计划，组织人民防空重大科研课题攻关，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市人防指挥部赋予的其他任务。承担市政府赋予的防灾救灾等应急支援任务。完成市委、市政府、市国防动员委员会交办的其他任务。</w:t>
      </w:r>
    </w:p>
    <w:p>
      <w:pPr>
        <w:pStyle w:val="27"/>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按照预算管理有关规定，目前我省部门预算的编制实行综合预算管理，即全部收入和支出都反映在预算中。沙河市人民政府机关及所属事业单位的收支包含在部门预算中。</w:t>
      </w:r>
    </w:p>
    <w:p>
      <w:pPr>
        <w:pStyle w:val="28"/>
      </w:pPr>
      <w:r>
        <w:t>按照预算管理有关规定，目前我市部门预算的编制实行综合预算制度，即全部收入和支出都反映的预算中，单位的收支包含在部门预算中。</w:t>
      </w:r>
    </w:p>
    <w:p>
      <w:pPr>
        <w:pStyle w:val="28"/>
      </w:pPr>
      <w:r>
        <w:t>1、收入说明</w:t>
      </w:r>
    </w:p>
    <w:p>
      <w:pPr>
        <w:pStyle w:val="28"/>
      </w:pPr>
      <w:r>
        <w:t>反映本部门当年全部收入。2023年预算收入1256.81万元，其中：一般公共预算收入1256.81万元，基金预算拨款0元。</w:t>
      </w:r>
    </w:p>
    <w:p>
      <w:pPr>
        <w:pStyle w:val="28"/>
      </w:pPr>
      <w:r>
        <w:t>2、支出说明</w:t>
      </w:r>
    </w:p>
    <w:p>
      <w:pPr>
        <w:pStyle w:val="28"/>
      </w:pPr>
      <w:r>
        <w:t>收支预算总表支出栏、基本支出表、项目支出表按经济分类和支出功能分类科目编制，反映沙河市人民政府办公室2023年度部门预算中支出预算的总体情况。2023年支出预算1256.81万元，其中基本支出946.01万元，包括人员经费和日常公用经费；项目支出310.8万元。</w:t>
      </w:r>
    </w:p>
    <w:p>
      <w:pPr>
        <w:pStyle w:val="28"/>
      </w:pPr>
      <w:r>
        <w:t>3、比上年增减情况</w:t>
      </w:r>
    </w:p>
    <w:p>
      <w:pPr>
        <w:pStyle w:val="28"/>
      </w:pPr>
      <w:r>
        <w:t>2023年预算收支安排1256.81万元，较2022年预算减少218.01万元，其中基本支出减少137.25万元，主要为行政运行费调整至项目经费；项目支出减少80.76万元，主要为2023年减少电子政务外网升级、优化改造，政务服务运行管理经费，人防办工作经费，金融工作经费，打非处非工作经费等。</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机关运行经费安排88.97万元，主要用于办公、公务用车运行、公务交通补贴、通讯补贴、工会经费及福利费等日常运行支出。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2023年，我部门“三公”经费预算安排37.5万元，其中因公出国（境）费0元；公务用车购置及运维费24万元（公务用车购置费0元，公务用车运维费24万元），与2022年持平；公务接待费13.5万元，与2022年持平。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1、群众服务热线平台运行管理经费绩效目标表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1.开展热线服务，24小时受理办理我市群众生产生活方面诉求。</w:t>
            </w:r>
          </w:p>
          <w:p>
            <w:pPr>
              <w:pStyle w:val="14"/>
            </w:pPr>
            <w:r>
              <w:t>2.完成群众通过服务热线、市长信箱等途径反映事项的受理、解答、交办、督办及回访等工作。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群众服务热线平台系统正常运行</w:t>
            </w:r>
          </w:p>
        </w:tc>
        <w:tc>
          <w:tcPr>
            <w:tcW w:w="2835" w:type="dxa"/>
            <w:vAlign w:val="center"/>
          </w:tcPr>
          <w:p>
            <w:pPr>
              <w:pStyle w:val="14"/>
            </w:pPr>
            <w:r>
              <w:t>市长热线工作正常运行</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云服务器、中继语音电路、短信卡使用率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软件系统运行</w:t>
            </w:r>
          </w:p>
        </w:tc>
        <w:tc>
          <w:tcPr>
            <w:tcW w:w="2835" w:type="dxa"/>
            <w:vAlign w:val="center"/>
          </w:tcPr>
          <w:p>
            <w:pPr>
              <w:pStyle w:val="14"/>
            </w:pPr>
            <w:r>
              <w:t>软件系统运行</w:t>
            </w:r>
          </w:p>
        </w:tc>
        <w:tc>
          <w:tcPr>
            <w:tcW w:w="2551" w:type="dxa"/>
            <w:vAlign w:val="center"/>
          </w:tcPr>
          <w:p>
            <w:pPr>
              <w:pStyle w:val="14"/>
            </w:pPr>
            <w:r>
              <w:t>≥98百分比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≤160万元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办理我市群众生产生活方面诉求</w:t>
            </w:r>
          </w:p>
        </w:tc>
        <w:tc>
          <w:tcPr>
            <w:tcW w:w="2835" w:type="dxa"/>
            <w:vAlign w:val="center"/>
          </w:tcPr>
          <w:p>
            <w:pPr>
              <w:pStyle w:val="14"/>
            </w:pPr>
            <w:r>
              <w:t>办理我市群众生产生活方面诉求</w:t>
            </w:r>
          </w:p>
        </w:tc>
        <w:tc>
          <w:tcPr>
            <w:tcW w:w="2551" w:type="dxa"/>
            <w:vAlign w:val="center"/>
          </w:tcPr>
          <w:p>
            <w:pPr>
              <w:pStyle w:val="14"/>
            </w:pPr>
            <w:r>
              <w:t>办理我市群众生产生活方面诉求</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2、协同联动平台服务费绩效目标表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1.协同联动平台运用移动互联网、大数据、云计算等技术，打造面向全市政务工作人员的统一平台。</w:t>
            </w:r>
          </w:p>
          <w:p>
            <w:pPr>
              <w:pStyle w:val="14"/>
            </w:pPr>
            <w:r>
              <w:t>2.该平台主要由内部统一门户、应用超市应用、标准办公应用、一体化平台和底座等组成，旨在建设全市统一的协同联动办公平台，实现市、县、乡、村四级政务协调联动，满足乡镇以上部门公文的收发、政务的处理和村（社区）通知的收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保障所有用户稳定使用</w:t>
            </w:r>
          </w:p>
        </w:tc>
        <w:tc>
          <w:tcPr>
            <w:tcW w:w="2835" w:type="dxa"/>
            <w:vAlign w:val="center"/>
          </w:tcPr>
          <w:p>
            <w:pPr>
              <w:pStyle w:val="14"/>
            </w:pPr>
            <w:r>
              <w:t>保障所有用户稳定使用</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各项功能、模块正常使用</w:t>
            </w:r>
          </w:p>
        </w:tc>
        <w:tc>
          <w:tcPr>
            <w:tcW w:w="2835" w:type="dxa"/>
            <w:vAlign w:val="center"/>
          </w:tcPr>
          <w:p>
            <w:pPr>
              <w:pStyle w:val="14"/>
            </w:pPr>
            <w:r>
              <w:t>各项功能、模块正常使用</w:t>
            </w:r>
          </w:p>
        </w:tc>
        <w:tc>
          <w:tcPr>
            <w:tcW w:w="2551" w:type="dxa"/>
            <w:vAlign w:val="center"/>
          </w:tcPr>
          <w:p>
            <w:pPr>
              <w:pStyle w:val="14"/>
            </w:pPr>
            <w:r>
              <w:t>≥90百分比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信息更新、网页响应时效</w:t>
            </w:r>
          </w:p>
        </w:tc>
        <w:tc>
          <w:tcPr>
            <w:tcW w:w="2835" w:type="dxa"/>
            <w:vAlign w:val="center"/>
          </w:tcPr>
          <w:p>
            <w:pPr>
              <w:pStyle w:val="14"/>
            </w:pPr>
            <w:r>
              <w:t>信息更新、网页响应时效</w:t>
            </w:r>
          </w:p>
        </w:tc>
        <w:tc>
          <w:tcPr>
            <w:tcW w:w="2551" w:type="dxa"/>
            <w:vAlign w:val="center"/>
          </w:tcPr>
          <w:p>
            <w:pPr>
              <w:pStyle w:val="14"/>
            </w:pPr>
            <w:r>
              <w:t>及时更新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≤21.02万元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提高工作效率、加强沟通协作</w:t>
            </w:r>
          </w:p>
        </w:tc>
        <w:tc>
          <w:tcPr>
            <w:tcW w:w="2835" w:type="dxa"/>
            <w:vAlign w:val="center"/>
          </w:tcPr>
          <w:p>
            <w:pPr>
              <w:pStyle w:val="14"/>
            </w:pPr>
            <w:r>
              <w:t>提高工作效率、加强沟通协作</w:t>
            </w:r>
          </w:p>
        </w:tc>
        <w:tc>
          <w:tcPr>
            <w:tcW w:w="2551" w:type="dxa"/>
            <w:vAlign w:val="center"/>
          </w:tcPr>
          <w:p>
            <w:pPr>
              <w:pStyle w:val="14"/>
            </w:pPr>
            <w:r>
              <w:t>提高工作效率、加强沟通协作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使用对象满意度</w:t>
            </w:r>
          </w:p>
        </w:tc>
        <w:tc>
          <w:tcPr>
            <w:tcW w:w="2835" w:type="dxa"/>
            <w:vAlign w:val="center"/>
          </w:tcPr>
          <w:p>
            <w:pPr>
              <w:pStyle w:val="14"/>
            </w:pPr>
            <w:r>
              <w:t>使用对象满意度</w:t>
            </w:r>
          </w:p>
        </w:tc>
        <w:tc>
          <w:tcPr>
            <w:tcW w:w="2551" w:type="dxa"/>
            <w:vAlign w:val="center"/>
          </w:tcPr>
          <w:p>
            <w:pPr>
              <w:pStyle w:val="14"/>
            </w:pPr>
            <w:r>
              <w:t>≥90百分比</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3、政府机关行政运行绩效目标表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组织会议次数</w:t>
            </w:r>
          </w:p>
        </w:tc>
        <w:tc>
          <w:tcPr>
            <w:tcW w:w="2835" w:type="dxa"/>
            <w:vAlign w:val="center"/>
          </w:tcPr>
          <w:p>
            <w:pPr>
              <w:pStyle w:val="14"/>
            </w:pPr>
            <w:r>
              <w:t>协调组织各类大、中、小会议次数</w:t>
            </w:r>
          </w:p>
        </w:tc>
        <w:tc>
          <w:tcPr>
            <w:tcW w:w="2551" w:type="dxa"/>
            <w:vAlign w:val="center"/>
          </w:tcPr>
          <w:p>
            <w:pPr>
              <w:pStyle w:val="14"/>
            </w:pPr>
            <w:r>
              <w:t>严格按照会议费相关规定控制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接待次数</w:t>
            </w:r>
          </w:p>
        </w:tc>
        <w:tc>
          <w:tcPr>
            <w:tcW w:w="2835" w:type="dxa"/>
            <w:vAlign w:val="center"/>
          </w:tcPr>
          <w:p>
            <w:pPr>
              <w:pStyle w:val="14"/>
            </w:pPr>
            <w:r>
              <w:t>接待次数</w:t>
            </w:r>
          </w:p>
        </w:tc>
        <w:tc>
          <w:tcPr>
            <w:tcW w:w="2551" w:type="dxa"/>
            <w:vAlign w:val="center"/>
          </w:tcPr>
          <w:p>
            <w:pPr>
              <w:pStyle w:val="14"/>
            </w:pPr>
            <w:r>
              <w:t>严格按照接待费相关规定控制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机关工作正常运转</w:t>
            </w:r>
          </w:p>
        </w:tc>
        <w:tc>
          <w:tcPr>
            <w:tcW w:w="2835" w:type="dxa"/>
            <w:vAlign w:val="center"/>
          </w:tcPr>
          <w:p>
            <w:pPr>
              <w:pStyle w:val="14"/>
            </w:pPr>
            <w:r>
              <w:t>机关工作正常运转率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高标准、高质量完成各项协调组织会议工作率</w:t>
            </w:r>
          </w:p>
        </w:tc>
        <w:tc>
          <w:tcPr>
            <w:tcW w:w="2835" w:type="dxa"/>
            <w:vAlign w:val="center"/>
          </w:tcPr>
          <w:p>
            <w:pPr>
              <w:pStyle w:val="14"/>
            </w:pPr>
            <w:r>
              <w:t>高标准、高质量完成各项协调组织会议工作率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高标准、高质量完成接待任务率</w:t>
            </w:r>
          </w:p>
        </w:tc>
        <w:tc>
          <w:tcPr>
            <w:tcW w:w="2835" w:type="dxa"/>
            <w:vAlign w:val="center"/>
          </w:tcPr>
          <w:p>
            <w:pPr>
              <w:pStyle w:val="14"/>
            </w:pPr>
            <w:r>
              <w:t>高标准、高质量完成接待任务率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≤129.78万元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年度重点工作完成及时率</w:t>
            </w:r>
          </w:p>
        </w:tc>
        <w:tc>
          <w:tcPr>
            <w:tcW w:w="2835" w:type="dxa"/>
            <w:vAlign w:val="center"/>
          </w:tcPr>
          <w:p>
            <w:pPr>
              <w:pStyle w:val="14"/>
            </w:pPr>
            <w:r>
              <w:t>年度重点工作完成及时件数/年度重点工作总件数*100%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单位年终考核成绩</w:t>
            </w:r>
          </w:p>
        </w:tc>
        <w:tc>
          <w:tcPr>
            <w:tcW w:w="2835" w:type="dxa"/>
            <w:vAlign w:val="center"/>
          </w:tcPr>
          <w:p>
            <w:pPr>
              <w:pStyle w:val="14"/>
            </w:pPr>
            <w:r>
              <w:t>上级部门（或组织部门）对本单位年终考核成绩</w:t>
            </w:r>
          </w:p>
        </w:tc>
        <w:tc>
          <w:tcPr>
            <w:tcW w:w="2551" w:type="dxa"/>
            <w:vAlign w:val="center"/>
          </w:tcPr>
          <w:p>
            <w:pPr>
              <w:pStyle w:val="14"/>
            </w:pPr>
            <w:r>
              <w:t>良好</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单位职工满意人数/单位职工总人数*100%</w:t>
            </w:r>
          </w:p>
        </w:tc>
        <w:tc>
          <w:tcPr>
            <w:tcW w:w="2551" w:type="dxa"/>
            <w:vAlign w:val="center"/>
          </w:tcPr>
          <w:p>
            <w:pPr>
              <w:pStyle w:val="14"/>
            </w:pPr>
            <w:r>
              <w:t>≥90%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2023年，沙河市人民政府办公室本级安排政府采购预算0.00万元。具体内容见下表。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沙河市人民政府办公室本级上年末固定资产金额为507.66万元（详见下表）。本年度拟购置固定资产总额为0.00万元，已按要求列入政府采购预算，详见政府采购预算表。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150001沙河市人民政府办公室本级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507.66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157.15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719</w:t>
            </w:r>
          </w:p>
        </w:tc>
        <w:tc>
          <w:tcPr>
            <w:tcW w:w="2835" w:type="dxa"/>
            <w:vAlign w:val="center"/>
          </w:tcPr>
          <w:p>
            <w:pPr>
              <w:pStyle w:val="13"/>
            </w:pPr>
            <w:r>
              <w:t>350.51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2D3F3D53"/>
    <w:rsid w:val="498E1A82"/>
    <w:rsid w:val="5E5E2C59"/>
    <w:rsid w:val="64B00440"/>
    <w:rsid w:val="6E0D6F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2023-03-02T11:14:12Z</dcterms:created>
  <dcterms:modified xsi:type="dcterms:W3CDTF">2023-03-02T03:14:12Z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2023-03-02T11:14:12Z</dcterms:created>
  <dcterms:modified xsi:type="dcterms:W3CDTF">2023-03-02T03:14:12Z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2023-03-02T11:14:11Z</dcterms:created>
  <dcterms:modified xsi:type="dcterms:W3CDTF">2023-03-02T03:14:11Z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2023-03-02T11:14:11Z</dcterms:created>
  <dcterms:modified xsi:type="dcterms:W3CDTF">2023-03-02T03:14:11Z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2023-03-02T11:14:06Z</dcterms:created>
  <dcterms:modified xsi:type="dcterms:W3CDTF">2023-03-02T03:14:06Z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2023-03-02T11:14:07Z</dcterms:created>
  <dcterms:modified xsi:type="dcterms:W3CDTF">2023-03-02T03:14:07Z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2023-03-02T11:14:06Z</dcterms:created>
  <dcterms:modified xsi:type="dcterms:W3CDTF">2023-03-02T03:14:06Z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2023-03-02T11:14:12Z</dcterms:created>
  <dcterms:modified xsi:type="dcterms:W3CDTF">2023-03-02T03:14:12Z</dcterms:modified>
</cp:coreProperties>
</file>

<file path=customXml/itemProps1.xml><?xml version="1.0" encoding="utf-8"?>
<ds:datastoreItem xmlns:ds="http://schemas.openxmlformats.org/officeDocument/2006/customXml" ds:itemID="{055f48ea-fabe-4095-acb7-351e3ddd9438}">
  <ds:schemaRefs/>
</ds:datastoreItem>
</file>

<file path=customXml/itemProps10.xml><?xml version="1.0" encoding="utf-8"?>
<ds:datastoreItem xmlns:ds="http://schemas.openxmlformats.org/officeDocument/2006/customXml" ds:itemID="{ac184d50-e3b0-4c4a-9fca-ce0cc005fec4}">
  <ds:schemaRefs/>
</ds:datastoreItem>
</file>

<file path=customXml/itemProps11.xml><?xml version="1.0" encoding="utf-8"?>
<ds:datastoreItem xmlns:ds="http://schemas.openxmlformats.org/officeDocument/2006/customXml" ds:itemID="{c34a96d4-c15f-42f2-ac1b-54bf0a9aa957}">
  <ds:schemaRefs/>
</ds:datastoreItem>
</file>

<file path=customXml/itemProps12.xml><?xml version="1.0" encoding="utf-8"?>
<ds:datastoreItem xmlns:ds="http://schemas.openxmlformats.org/officeDocument/2006/customXml" ds:itemID="{70f3f4c1-63ac-4118-ae4f-68fb54fbc473}">
  <ds:schemaRefs/>
</ds:datastoreItem>
</file>

<file path=customXml/itemProps13.xml><?xml version="1.0" encoding="utf-8"?>
<ds:datastoreItem xmlns:ds="http://schemas.openxmlformats.org/officeDocument/2006/customXml" ds:itemID="{a7f2f6ad-5180-4249-a17b-d3d0c9ad2630}">
  <ds:schemaRefs/>
</ds:datastoreItem>
</file>

<file path=customXml/itemProps14.xml><?xml version="1.0" encoding="utf-8"?>
<ds:datastoreItem xmlns:ds="http://schemas.openxmlformats.org/officeDocument/2006/customXml" ds:itemID="{3a603542-e592-49e2-879f-8fecdac68239}">
  <ds:schemaRefs/>
</ds:datastoreItem>
</file>

<file path=customXml/itemProps15.xml><?xml version="1.0" encoding="utf-8"?>
<ds:datastoreItem xmlns:ds="http://schemas.openxmlformats.org/officeDocument/2006/customXml" ds:itemID="{4f31a103-b7f3-44f3-ac43-d292fad90874}">
  <ds:schemaRefs/>
</ds:datastoreItem>
</file>

<file path=customXml/itemProps16.xml><?xml version="1.0" encoding="utf-8"?>
<ds:datastoreItem xmlns:ds="http://schemas.openxmlformats.org/officeDocument/2006/customXml" ds:itemID="{24ffab1f-9d68-4b9e-9bf3-8d56f3c0cfab}">
  <ds:schemaRefs/>
</ds:datastoreItem>
</file>

<file path=customXml/itemProps17.xml><?xml version="1.0" encoding="utf-8"?>
<ds:datastoreItem xmlns:ds="http://schemas.openxmlformats.org/officeDocument/2006/customXml" ds:itemID="{9aad682e-2105-4d6d-927e-a09871f92eb5}">
  <ds:schemaRefs/>
</ds:datastoreItem>
</file>

<file path=customXml/itemProps18.xml><?xml version="1.0" encoding="utf-8"?>
<ds:datastoreItem xmlns:ds="http://schemas.openxmlformats.org/officeDocument/2006/customXml" ds:itemID="{e4d0b6e8-faf5-494a-8339-eedf24acebcd}">
  <ds:schemaRefs/>
</ds:datastoreItem>
</file>

<file path=customXml/itemProps19.xml><?xml version="1.0" encoding="utf-8"?>
<ds:datastoreItem xmlns:ds="http://schemas.openxmlformats.org/officeDocument/2006/customXml" ds:itemID="{0d733850-e4e3-4a8d-b96a-735cc5b554e3}">
  <ds:schemaRefs/>
</ds:datastoreItem>
</file>

<file path=customXml/itemProps2.xml><?xml version="1.0" encoding="utf-8"?>
<ds:datastoreItem xmlns:ds="http://schemas.openxmlformats.org/officeDocument/2006/customXml" ds:itemID="{1de65045-2781-4b61-adce-59fa35ffe383}">
  <ds:schemaRefs/>
</ds:datastoreItem>
</file>

<file path=customXml/itemProps20.xml><?xml version="1.0" encoding="utf-8"?>
<ds:datastoreItem xmlns:ds="http://schemas.openxmlformats.org/officeDocument/2006/customXml" ds:itemID="{517687d0-e520-47be-8cac-35e5344af5fe}">
  <ds:schemaRefs/>
</ds:datastoreItem>
</file>

<file path=customXml/itemProps21.xml><?xml version="1.0" encoding="utf-8"?>
<ds:datastoreItem xmlns:ds="http://schemas.openxmlformats.org/officeDocument/2006/customXml" ds:itemID="{342cbb44-7f9f-46b0-9455-fb065be4c061}">
  <ds:schemaRefs/>
</ds:datastoreItem>
</file>

<file path=customXml/itemProps22.xml><?xml version="1.0" encoding="utf-8"?>
<ds:datastoreItem xmlns:ds="http://schemas.openxmlformats.org/officeDocument/2006/customXml" ds:itemID="{69f6a044-e98c-4a17-8838-87cacdac0f83}">
  <ds:schemaRefs/>
</ds:datastoreItem>
</file>

<file path=customXml/itemProps3.xml><?xml version="1.0" encoding="utf-8"?>
<ds:datastoreItem xmlns:ds="http://schemas.openxmlformats.org/officeDocument/2006/customXml" ds:itemID="{69b9bf74-17a1-4d45-ba7d-ac282e7e8457}">
  <ds:schemaRefs/>
</ds:datastoreItem>
</file>

<file path=customXml/itemProps4.xml><?xml version="1.0" encoding="utf-8"?>
<ds:datastoreItem xmlns:ds="http://schemas.openxmlformats.org/officeDocument/2006/customXml" ds:itemID="{9c7b4642-7092-4d3c-84a2-761558e495dc}">
  <ds:schemaRefs/>
</ds:datastoreItem>
</file>

<file path=customXml/itemProps5.xml><?xml version="1.0" encoding="utf-8"?>
<ds:datastoreItem xmlns:ds="http://schemas.openxmlformats.org/officeDocument/2006/customXml" ds:itemID="{dfa23339-278e-4297-9e76-8281282b6ba9}">
  <ds:schemaRefs/>
</ds:datastoreItem>
</file>

<file path=customXml/itemProps6.xml><?xml version="1.0" encoding="utf-8"?>
<ds:datastoreItem xmlns:ds="http://schemas.openxmlformats.org/officeDocument/2006/customXml" ds:itemID="{99c16d39-bd68-40ee-9a3e-48abb4181879}">
  <ds:schemaRefs/>
</ds:datastoreItem>
</file>

<file path=customXml/itemProps7.xml><?xml version="1.0" encoding="utf-8"?>
<ds:datastoreItem xmlns:ds="http://schemas.openxmlformats.org/officeDocument/2006/customXml" ds:itemID="{18cba3af-320a-49bd-be34-8148dbf568ad}">
  <ds:schemaRefs/>
</ds:datastoreItem>
</file>

<file path=customXml/itemProps8.xml><?xml version="1.0" encoding="utf-8"?>
<ds:datastoreItem xmlns:ds="http://schemas.openxmlformats.org/officeDocument/2006/customXml" ds:itemID="{646a6a12-79f6-4806-9ead-f5626da8c5f1}">
  <ds:schemaRefs/>
</ds:datastoreItem>
</file>

<file path=customXml/itemProps9.xml><?xml version="1.0" encoding="utf-8"?>
<ds:datastoreItem xmlns:ds="http://schemas.openxmlformats.org/officeDocument/2006/customXml" ds:itemID="{6761090c-849f-4f1e-ba91-33c1717f90d1}">
  <ds:schemaRefs/>
</ds:datastoreItem>
</file>

<file path=docProps/app.xml><?xml version="1.0" encoding="utf-8"?>
<Properties xmlns="http://schemas.openxmlformats.org/officeDocument/2006/extended-properties" xmlns:vt="http://schemas.openxmlformats.org/officeDocument/2006/docPropsVTypes">
  <Pages>84</Pages>
  <Words>20709</Words>
  <Characters>23472</Characters>
  <TotalTime>5</TotalTime>
  <ScaleCrop>false</ScaleCrop>
  <LinksUpToDate>false</LinksUpToDate>
  <CharactersWithSpaces>23805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2023-03-02T11:14:00Z</dcterms:created>
  <dc:creator>Administrator</dc:creator>
  <cp:lastModifiedBy>早开的晚霞。</cp:lastModifiedBy>
  <dcterms:modified xsi:type="dcterms:W3CDTF">2024-02-01T08:52:07Z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E884007F76A3414DBE4970257FD2AFBA</vt:lpwstr>
  </property>
</Properties>
</file>