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宋体" w:hAnsi="宋体" w:eastAsia="宋体" w:cs="宋体"/>
          <w:b/>
          <w:sz w:val="44"/>
          <w:lang w:eastAsia="zh-CN"/>
        </w:rPr>
      </w:pPr>
      <w:bookmarkStart w:id="0" w:name="_GoBack"/>
      <w:bookmarkEnd w:id="0"/>
      <w:r>
        <w:rPr>
          <w:rFonts w:ascii="宋体" w:hAnsi="宋体" w:eastAsia="宋体" w:cs="宋体"/>
          <w:b/>
          <w:sz w:val="44"/>
        </w:rPr>
        <w:t>沙河</w:t>
      </w:r>
      <w:r>
        <w:rPr>
          <w:rFonts w:hint="eastAsia" w:ascii="宋体" w:hAnsi="宋体" w:eastAsia="宋体" w:cs="宋体"/>
          <w:b/>
          <w:sz w:val="44"/>
          <w:lang w:eastAsia="zh-CN"/>
        </w:rPr>
        <w:t>市委巡察办</w:t>
      </w:r>
    </w:p>
    <w:p>
      <w:pPr>
        <w:spacing w:line="480" w:lineRule="auto"/>
        <w:jc w:val="center"/>
        <w:rPr>
          <w:rFonts w:ascii="宋体" w:hAnsi="宋体" w:eastAsia="宋体" w:cs="宋体"/>
          <w:b/>
          <w:sz w:val="44"/>
        </w:rPr>
      </w:pPr>
      <w:r>
        <w:rPr>
          <w:rFonts w:hint="eastAsia" w:ascii="宋体" w:hAnsi="宋体" w:eastAsia="宋体" w:cs="宋体"/>
          <w:b/>
          <w:sz w:val="44"/>
        </w:rPr>
        <w:t>202</w:t>
      </w:r>
      <w:r>
        <w:rPr>
          <w:rFonts w:ascii="宋体" w:hAnsi="宋体" w:eastAsia="宋体" w:cs="宋体"/>
          <w:b/>
          <w:sz w:val="44"/>
        </w:rPr>
        <w:t>1</w:t>
      </w:r>
      <w:r>
        <w:rPr>
          <w:rFonts w:hint="eastAsia" w:ascii="宋体" w:hAnsi="宋体" w:eastAsia="宋体" w:cs="宋体"/>
          <w:b/>
          <w:sz w:val="44"/>
        </w:rPr>
        <w:t>年</w:t>
      </w:r>
      <w:r>
        <w:rPr>
          <w:rFonts w:ascii="宋体" w:hAnsi="宋体" w:eastAsia="宋体" w:cs="宋体"/>
          <w:b/>
          <w:sz w:val="44"/>
        </w:rPr>
        <w:t>部门整体支出绩效评价</w:t>
      </w:r>
    </w:p>
    <w:p>
      <w:pPr>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ascii="Calibri" w:hAnsi="Calibri" w:eastAsia="方正仿宋_GBK" w:cs="Times New Roman"/>
          <w:b/>
          <w:sz w:val="32"/>
          <w:szCs w:val="32"/>
        </w:rPr>
      </w:pPr>
      <w:r>
        <w:rPr>
          <w:rFonts w:hint="eastAsia" w:ascii="Calibri" w:hAnsi="Calibri" w:eastAsia="方正仿宋_GBK" w:cs="Times New Roman"/>
          <w:b/>
          <w:sz w:val="32"/>
          <w:szCs w:val="32"/>
        </w:rPr>
        <w:t>部门</w:t>
      </w:r>
      <w:r>
        <w:rPr>
          <w:rFonts w:ascii="Calibri" w:hAnsi="Calibri" w:eastAsia="方正仿宋_GBK" w:cs="Times New Roman"/>
          <w:b/>
          <w:sz w:val="32"/>
          <w:szCs w:val="32"/>
        </w:rPr>
        <w:t>职责：</w:t>
      </w:r>
    </w:p>
    <w:p>
      <w:pPr>
        <w:keepNext w:val="0"/>
        <w:keepLines w:val="0"/>
        <w:pageBreakBefore w:val="0"/>
        <w:kinsoku/>
        <w:wordWrap/>
        <w:overflowPunct/>
        <w:topLinePunct w:val="0"/>
        <w:bidi w:val="0"/>
        <w:snapToGrid/>
        <w:spacing w:line="240" w:lineRule="auto"/>
        <w:ind w:firstLine="640" w:firstLineChars="200"/>
        <w:jc w:val="left"/>
        <w:rPr>
          <w:rFonts w:hint="eastAsia" w:ascii="仿宋_GB2312" w:hAnsi="仿宋_GB2312" w:eastAsia="仿宋_GB2312" w:cs="Times New Roman"/>
          <w:color w:val="000000"/>
          <w:sz w:val="32"/>
          <w:lang w:eastAsia="zh-CN"/>
        </w:rPr>
      </w:pPr>
      <w:r>
        <w:rPr>
          <w:rFonts w:hint="eastAsia" w:ascii="仿宋_GB2312" w:hAnsi="仿宋_GB2312" w:eastAsia="仿宋_GB2312" w:cs="Times New Roman"/>
          <w:color w:val="000000"/>
          <w:sz w:val="32"/>
        </w:rPr>
        <w:t>(一)贯彻落实党中央、省委、邢台市委、沙河市委和市委巡察工作领导小组的决策部署，向邢台市委巡察工作领导小组办公室和市委巡察工作领导小组报告工作情况</w:t>
      </w:r>
      <w:r>
        <w:rPr>
          <w:rFonts w:hint="eastAsia" w:ascii="仿宋_GB2312" w:hAnsi="仿宋_GB2312" w:eastAsia="仿宋_GB2312" w:cs="Times New Roman"/>
          <w:color w:val="000000"/>
          <w:sz w:val="32"/>
          <w:lang w:eastAsia="zh-CN"/>
        </w:rPr>
        <w:t>。</w:t>
      </w:r>
    </w:p>
    <w:p>
      <w:pPr>
        <w:keepNext w:val="0"/>
        <w:keepLines w:val="0"/>
        <w:pageBreakBefore w:val="0"/>
        <w:kinsoku/>
        <w:wordWrap/>
        <w:overflowPunct/>
        <w:topLinePunct w:val="0"/>
        <w:bidi w:val="0"/>
        <w:snapToGrid/>
        <w:spacing w:line="240" w:lineRule="auto"/>
        <w:ind w:firstLine="640" w:firstLineChars="200"/>
        <w:jc w:val="left"/>
        <w:rPr>
          <w:rFonts w:hint="eastAsia" w:ascii="仿宋_GB2312" w:hAnsi="仿宋_GB2312" w:eastAsia="仿宋_GB2312" w:cs="Times New Roman"/>
          <w:color w:val="000000"/>
          <w:sz w:val="32"/>
        </w:rPr>
      </w:pPr>
      <w:r>
        <w:rPr>
          <w:rFonts w:hint="eastAsia" w:ascii="仿宋_GB2312" w:hAnsi="仿宋_GB2312" w:eastAsia="仿宋_GB2312" w:cs="Times New Roman"/>
          <w:color w:val="000000"/>
          <w:sz w:val="32"/>
        </w:rPr>
        <w:t>(二)统筹、协调、指导开展巡察工作。</w:t>
      </w:r>
    </w:p>
    <w:p>
      <w:pPr>
        <w:keepNext w:val="0"/>
        <w:keepLines w:val="0"/>
        <w:pageBreakBefore w:val="0"/>
        <w:kinsoku/>
        <w:wordWrap/>
        <w:overflowPunct/>
        <w:topLinePunct w:val="0"/>
        <w:bidi w:val="0"/>
        <w:snapToGrid/>
        <w:spacing w:line="240" w:lineRule="auto"/>
        <w:ind w:firstLine="640" w:firstLineChars="200"/>
        <w:jc w:val="left"/>
        <w:rPr>
          <w:rFonts w:hint="eastAsia" w:ascii="仿宋_GB2312" w:hAnsi="仿宋_GB2312" w:eastAsia="仿宋_GB2312" w:cs="Times New Roman"/>
          <w:color w:val="000000"/>
          <w:sz w:val="32"/>
          <w:lang w:eastAsia="zh-CN"/>
        </w:rPr>
      </w:pPr>
      <w:r>
        <w:rPr>
          <w:rFonts w:hint="eastAsia" w:ascii="仿宋_GB2312" w:hAnsi="仿宋_GB2312" w:eastAsia="仿宋_GB2312" w:cs="Times New Roman"/>
          <w:color w:val="000000"/>
          <w:sz w:val="32"/>
        </w:rPr>
        <w:t>(三)承担政策研究、制度建设等工作</w:t>
      </w:r>
      <w:r>
        <w:rPr>
          <w:rFonts w:hint="eastAsia" w:ascii="仿宋_GB2312" w:hAnsi="仿宋_GB2312" w:eastAsia="仿宋_GB2312" w:cs="Times New Roman"/>
          <w:color w:val="000000"/>
          <w:sz w:val="32"/>
          <w:lang w:eastAsia="zh-CN"/>
        </w:rPr>
        <w:t>。</w:t>
      </w:r>
    </w:p>
    <w:p>
      <w:pPr>
        <w:keepNext w:val="0"/>
        <w:keepLines w:val="0"/>
        <w:pageBreakBefore w:val="0"/>
        <w:kinsoku/>
        <w:wordWrap/>
        <w:overflowPunct/>
        <w:topLinePunct w:val="0"/>
        <w:bidi w:val="0"/>
        <w:snapToGrid/>
        <w:spacing w:line="240" w:lineRule="auto"/>
        <w:ind w:firstLine="640" w:firstLineChars="200"/>
        <w:jc w:val="left"/>
        <w:rPr>
          <w:rFonts w:hint="eastAsia" w:ascii="仿宋_GB2312" w:hAnsi="仿宋_GB2312" w:eastAsia="仿宋_GB2312" w:cs="Times New Roman"/>
          <w:color w:val="000000"/>
          <w:sz w:val="32"/>
          <w:lang w:eastAsia="zh-CN"/>
        </w:rPr>
      </w:pPr>
      <w:r>
        <w:rPr>
          <w:rFonts w:hint="eastAsia" w:ascii="仿宋_GB2312" w:hAnsi="仿宋_GB2312" w:eastAsia="仿宋_GB2312" w:cs="Times New Roman"/>
          <w:color w:val="000000"/>
          <w:sz w:val="32"/>
        </w:rPr>
        <w:t>(四)对市委、市委巡察工作领导小组决定的事项进行督办，会同巡察组对巡察整改工作进行专项检查</w:t>
      </w:r>
      <w:r>
        <w:rPr>
          <w:rFonts w:hint="eastAsia" w:ascii="仿宋_GB2312" w:hAnsi="仿宋_GB2312" w:eastAsia="仿宋_GB2312" w:cs="Times New Roman"/>
          <w:color w:val="000000"/>
          <w:sz w:val="32"/>
          <w:lang w:eastAsia="zh-CN"/>
        </w:rPr>
        <w:t>。</w:t>
      </w:r>
    </w:p>
    <w:p>
      <w:pPr>
        <w:keepNext w:val="0"/>
        <w:keepLines w:val="0"/>
        <w:pageBreakBefore w:val="0"/>
        <w:kinsoku/>
        <w:wordWrap/>
        <w:overflowPunct/>
        <w:topLinePunct w:val="0"/>
        <w:bidi w:val="0"/>
        <w:snapToGrid/>
        <w:spacing w:line="240" w:lineRule="auto"/>
        <w:ind w:firstLine="640" w:firstLineChars="200"/>
        <w:jc w:val="left"/>
        <w:rPr>
          <w:rFonts w:hint="eastAsia" w:ascii="仿宋_GB2312" w:hAnsi="仿宋_GB2312" w:eastAsia="仿宋_GB2312" w:cs="Times New Roman"/>
          <w:color w:val="000000"/>
          <w:sz w:val="32"/>
        </w:rPr>
      </w:pPr>
      <w:r>
        <w:rPr>
          <w:rFonts w:hint="eastAsia" w:ascii="仿宋_GB2312" w:hAnsi="仿宋_GB2312" w:eastAsia="仿宋_GB2312" w:cs="Times New Roman"/>
          <w:color w:val="000000"/>
          <w:sz w:val="32"/>
        </w:rPr>
        <w:t>(五)配合有关部门对巡察工作人员进行培训、考核、监督和管理。</w:t>
      </w:r>
    </w:p>
    <w:p>
      <w:pPr>
        <w:keepNext w:val="0"/>
        <w:keepLines w:val="0"/>
        <w:pageBreakBefore w:val="0"/>
        <w:kinsoku/>
        <w:wordWrap/>
        <w:overflowPunct/>
        <w:topLinePunct w:val="0"/>
        <w:bidi w:val="0"/>
        <w:snapToGrid/>
        <w:spacing w:line="240" w:lineRule="auto"/>
        <w:ind w:firstLine="640" w:firstLineChars="200"/>
        <w:jc w:val="left"/>
        <w:rPr>
          <w:rFonts w:hint="eastAsia" w:ascii="仿宋_GB2312" w:hAnsi="仿宋_GB2312" w:eastAsia="仿宋_GB2312" w:cs="Times New Roman"/>
          <w:color w:val="000000"/>
          <w:sz w:val="32"/>
          <w:lang w:eastAsia="zh-CN"/>
        </w:rPr>
      </w:pPr>
      <w:r>
        <w:rPr>
          <w:rFonts w:hint="eastAsia" w:ascii="仿宋_GB2312" w:hAnsi="仿宋_GB2312" w:eastAsia="仿宋_GB2312" w:cs="Times New Roman"/>
          <w:color w:val="000000"/>
          <w:sz w:val="32"/>
        </w:rPr>
        <w:t>(六)完成邢台市委巡察工作领导小组办公室和市委巡察工作领导小组交办的其他任务</w:t>
      </w:r>
      <w:r>
        <w:rPr>
          <w:rFonts w:hint="eastAsia" w:ascii="仿宋_GB2312" w:hAnsi="仿宋_GB2312" w:eastAsia="仿宋_GB2312" w:cs="Times New Roman"/>
          <w:color w:val="000000"/>
          <w:sz w:val="32"/>
          <w:lang w:eastAsia="zh-CN"/>
        </w:rPr>
        <w:t>。</w:t>
      </w:r>
    </w:p>
    <w:p>
      <w:pPr>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spacing w:line="46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按照预算管理有关规定，目前我市部门预算的编制实行综合预算制度，即全部收入和支出都反映的预算中，单位的收支包含在部门预算中。</w:t>
      </w:r>
    </w:p>
    <w:p>
      <w:pPr>
        <w:autoSpaceDE w:val="0"/>
        <w:autoSpaceDN w:val="0"/>
        <w:rPr>
          <w:rFonts w:ascii="仿宋" w:hAnsi="仿宋" w:eastAsia="仿宋" w:cs="Times New Roman"/>
          <w:b/>
          <w:bCs/>
          <w:sz w:val="32"/>
        </w:rPr>
      </w:pPr>
      <w:r>
        <w:rPr>
          <w:rFonts w:hint="eastAsia" w:ascii="仿宋" w:hAnsi="仿宋" w:eastAsia="仿宋" w:cs="Times New Roman"/>
          <w:sz w:val="32"/>
        </w:rPr>
        <w:t xml:space="preserve">     </w:t>
      </w:r>
      <w:r>
        <w:rPr>
          <w:rFonts w:hint="eastAsia" w:ascii="仿宋" w:hAnsi="仿宋" w:eastAsia="仿宋" w:cs="Times New Roman"/>
          <w:b/>
          <w:bCs/>
          <w:sz w:val="32"/>
        </w:rPr>
        <w:t>1、收入说明</w:t>
      </w:r>
    </w:p>
    <w:p>
      <w:pPr>
        <w:spacing w:line="46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反映本部门当年全部收入。2021年预算收入</w:t>
      </w:r>
      <w:r>
        <w:rPr>
          <w:rFonts w:hint="eastAsia" w:ascii="仿宋_GB2312" w:hAnsi="Calibri" w:eastAsia="仿宋_GB2312" w:cs="Times New Roman"/>
          <w:sz w:val="32"/>
          <w:szCs w:val="32"/>
          <w:lang w:val="en-US" w:eastAsia="zh-CN"/>
        </w:rPr>
        <w:t>239.43</w:t>
      </w:r>
      <w:r>
        <w:rPr>
          <w:rFonts w:hint="eastAsia" w:ascii="仿宋_GB2312" w:hAnsi="Calibri" w:eastAsia="仿宋_GB2312" w:cs="Times New Roman"/>
          <w:sz w:val="32"/>
          <w:szCs w:val="32"/>
        </w:rPr>
        <w:t>万元，共预算收入</w:t>
      </w:r>
      <w:r>
        <w:rPr>
          <w:rFonts w:hint="eastAsia" w:ascii="仿宋_GB2312" w:hAnsi="Calibri" w:eastAsia="仿宋_GB2312" w:cs="Times New Roman"/>
          <w:sz w:val="32"/>
          <w:szCs w:val="32"/>
          <w:lang w:val="en-US" w:eastAsia="zh-CN"/>
        </w:rPr>
        <w:t>239.43</w:t>
      </w:r>
      <w:r>
        <w:rPr>
          <w:rFonts w:hint="eastAsia" w:ascii="仿宋_GB2312" w:hAnsi="Calibri" w:eastAsia="仿宋_GB2312" w:cs="Times New Roman"/>
          <w:sz w:val="32"/>
          <w:szCs w:val="32"/>
        </w:rPr>
        <w:t>万元，基金预算拨款0元。</w:t>
      </w:r>
    </w:p>
    <w:p>
      <w:pPr>
        <w:autoSpaceDE w:val="0"/>
        <w:autoSpaceDN w:val="0"/>
        <w:rPr>
          <w:rFonts w:ascii="仿宋" w:hAnsi="仿宋" w:eastAsia="仿宋" w:cs="Times New Roman"/>
          <w:b/>
          <w:bCs/>
          <w:sz w:val="32"/>
        </w:rPr>
      </w:pPr>
      <w:r>
        <w:rPr>
          <w:rFonts w:hint="eastAsia" w:ascii="仿宋" w:hAnsi="仿宋" w:eastAsia="仿宋" w:cs="Times New Roman"/>
          <w:sz w:val="32"/>
        </w:rPr>
        <w:t xml:space="preserve">     </w:t>
      </w:r>
      <w:r>
        <w:rPr>
          <w:rFonts w:hint="eastAsia" w:ascii="仿宋" w:hAnsi="仿宋" w:eastAsia="仿宋" w:cs="Times New Roman"/>
          <w:b/>
          <w:bCs/>
          <w:sz w:val="32"/>
        </w:rPr>
        <w:t>2、支出说明</w:t>
      </w:r>
    </w:p>
    <w:p>
      <w:pPr>
        <w:widowControl/>
        <w:spacing w:line="610" w:lineRule="atLeast"/>
        <w:ind w:firstLine="64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收支预算总表支出栏、基本支出表、项目支出表按经济分类和支出功能分类科目编制，反映沙河市财政局2021年度部门预算中支出预算的总体情况。2021年支出预算</w:t>
      </w:r>
      <w:r>
        <w:rPr>
          <w:rFonts w:hint="eastAsia" w:ascii="仿宋_GB2312" w:hAnsi="Calibri" w:eastAsia="仿宋_GB2312" w:cs="Times New Roman"/>
          <w:sz w:val="32"/>
          <w:szCs w:val="32"/>
          <w:lang w:val="en-US" w:eastAsia="zh-CN"/>
        </w:rPr>
        <w:t>239.43</w:t>
      </w:r>
      <w:r>
        <w:rPr>
          <w:rFonts w:hint="eastAsia" w:ascii="Times New Roman" w:hAnsi="Times New Roman" w:eastAsia="仿宋" w:cs="Times New Roman"/>
          <w:sz w:val="32"/>
          <w:szCs w:val="32"/>
        </w:rPr>
        <w:t>万元，其中基本支出</w:t>
      </w:r>
      <w:r>
        <w:rPr>
          <w:rFonts w:hint="eastAsia" w:ascii="Times New Roman" w:hAnsi="Times New Roman" w:eastAsia="仿宋" w:cs="Times New Roman"/>
          <w:sz w:val="32"/>
          <w:szCs w:val="32"/>
          <w:lang w:val="en-US" w:eastAsia="zh-CN"/>
        </w:rPr>
        <w:t>174.63</w:t>
      </w:r>
      <w:r>
        <w:rPr>
          <w:rFonts w:hint="eastAsia" w:ascii="Times New Roman" w:hAnsi="Times New Roman" w:eastAsia="仿宋" w:cs="Times New Roman"/>
          <w:sz w:val="32"/>
          <w:szCs w:val="32"/>
        </w:rPr>
        <w:t>万元，包括人员经费和日常公用经费；项目支出</w:t>
      </w:r>
      <w:r>
        <w:rPr>
          <w:rFonts w:hint="eastAsia" w:ascii="Times New Roman" w:hAnsi="Times New Roman" w:eastAsia="仿宋" w:cs="Times New Roman"/>
          <w:sz w:val="32"/>
          <w:szCs w:val="32"/>
          <w:lang w:val="en-US" w:eastAsia="zh-CN"/>
        </w:rPr>
        <w:t>64.8</w:t>
      </w:r>
      <w:r>
        <w:rPr>
          <w:rFonts w:hint="eastAsia" w:ascii="Times New Roman" w:hAnsi="Times New Roman" w:eastAsia="仿宋" w:cs="Times New Roman"/>
          <w:sz w:val="32"/>
          <w:szCs w:val="32"/>
        </w:rPr>
        <w:t>万元，主要是</w:t>
      </w:r>
      <w:r>
        <w:rPr>
          <w:rFonts w:hint="eastAsia" w:ascii="Times New Roman" w:hAnsi="Times New Roman" w:eastAsia="仿宋" w:cs="Times New Roman"/>
          <w:sz w:val="32"/>
          <w:szCs w:val="32"/>
          <w:lang w:eastAsia="zh-CN"/>
        </w:rPr>
        <w:t>开展巡察工作</w:t>
      </w:r>
      <w:r>
        <w:rPr>
          <w:rFonts w:hint="eastAsia" w:ascii="Times New Roman" w:hAnsi="Times New Roman" w:eastAsia="仿宋" w:cs="Times New Roman"/>
          <w:sz w:val="32"/>
          <w:szCs w:val="32"/>
        </w:rPr>
        <w:t>。</w:t>
      </w:r>
    </w:p>
    <w:p>
      <w:pPr>
        <w:rPr>
          <w:rFonts w:ascii="黑体" w:hAnsi="黑体" w:eastAsia="黑体" w:cs="Times New Roman"/>
          <w:sz w:val="32"/>
          <w:szCs w:val="32"/>
        </w:rPr>
      </w:pPr>
      <w:r>
        <w:rPr>
          <w:rFonts w:ascii="黑体" w:hAnsi="黑体" w:eastAsia="黑体" w:cs="Times New Roman"/>
          <w:sz w:val="32"/>
          <w:szCs w:val="32"/>
        </w:rPr>
        <w:t>三</w:t>
      </w:r>
      <w:r>
        <w:rPr>
          <w:rFonts w:hint="eastAsia" w:ascii="黑体" w:hAnsi="黑体" w:eastAsia="黑体" w:cs="Times New Roman"/>
          <w:sz w:val="32"/>
          <w:szCs w:val="32"/>
        </w:rPr>
        <w:t>、</w:t>
      </w:r>
      <w:r>
        <w:rPr>
          <w:rFonts w:ascii="黑体" w:hAnsi="黑体" w:eastAsia="黑体" w:cs="Times New Roman"/>
          <w:sz w:val="32"/>
          <w:szCs w:val="32"/>
        </w:rPr>
        <w:t>总体绩效目标：</w:t>
      </w:r>
    </w:p>
    <w:p>
      <w:pPr>
        <w:widowControl/>
        <w:spacing w:line="610" w:lineRule="atLeast"/>
        <w:ind w:firstLine="640"/>
        <w:jc w:val="left"/>
        <w:rPr>
          <w:rFonts w:hint="eastAsia" w:ascii="仿宋_GB2312" w:hAnsi="宋体" w:eastAsia="仿宋_GB2312" w:cs="Times New Roman"/>
          <w:sz w:val="32"/>
          <w:szCs w:val="32"/>
        </w:rPr>
      </w:pPr>
      <w:r>
        <w:rPr>
          <w:rFonts w:hint="eastAsia" w:ascii="Times New Roman" w:hAnsi="Times New Roman" w:eastAsia="仿宋" w:cs="Times New Roman"/>
          <w:sz w:val="32"/>
          <w:szCs w:val="32"/>
          <w:lang w:val="en-US" w:eastAsia="zh-CN"/>
        </w:rPr>
        <w:t>坚持以习近平新时代中国特色社会主义思想为指导，深入学习贯彻习近平总书记关于巡视工作重要论述，提高政治站位，紧扣新时代巡察目标要求，坚持巡察政治定位和问题导向，聚焦被巡察党组织职责使命，贯彻落实上级决策部署情况，聚焦群众身边的腐败问题和不正之风，聚焦基层党组织软弱涣散、组织力欠缺问题。创新方式方法，高质量推进巡察全覆盖，运用不同巡察方式，按时保质完成巡察全覆盖，扎实推进村级巡察全覆盖。完善制度机制，加强巡察工作规范化信息化建设，健全和完善巡察制度，加强与有关部门的协作配合。积极开展巡视巡察上下联动。压实整改责任，深化巡察成果运用，压实被巡察单位整改责任。完善巡察整改监督，健全和完善成果运用机制。强化组织领导，加强巡察队伍建设，加强对巡察工作的组织领导。加强巡察机构队伍建设。强化教育培训和后勤保障，加强对巡察干部纪律监督。营造良好工作氛围和环境。</w:t>
      </w:r>
    </w:p>
    <w:p>
      <w:pPr>
        <w:rPr>
          <w:rFonts w:ascii="黑体" w:hAnsi="黑体" w:eastAsia="黑体" w:cs="Times New Roman"/>
          <w:sz w:val="32"/>
          <w:szCs w:val="32"/>
        </w:rPr>
      </w:pPr>
      <w:r>
        <w:rPr>
          <w:rFonts w:hint="eastAsia" w:ascii="黑体" w:hAnsi="黑体" w:eastAsia="黑体" w:cs="Times New Roman"/>
          <w:sz w:val="32"/>
          <w:szCs w:val="32"/>
        </w:rPr>
        <w:t>四、</w:t>
      </w:r>
      <w:r>
        <w:rPr>
          <w:rFonts w:ascii="黑体" w:hAnsi="黑体" w:eastAsia="黑体" w:cs="Times New Roman"/>
          <w:sz w:val="32"/>
          <w:szCs w:val="32"/>
        </w:rPr>
        <w:t>各项绩效目标的实现程度</w:t>
      </w:r>
    </w:p>
    <w:p>
      <w:pPr>
        <w:spacing w:line="460" w:lineRule="exact"/>
        <w:ind w:firstLine="640" w:firstLineChars="200"/>
        <w:rPr>
          <w:rFonts w:ascii="方正仿宋_GBK" w:hAnsi="方正仿宋_GBK"/>
          <w:sz w:val="28"/>
          <w:szCs w:val="28"/>
        </w:rPr>
      </w:pPr>
      <w:r>
        <w:rPr>
          <w:rFonts w:hint="eastAsia" w:ascii="仿宋_GB2312" w:hAnsi="Calibri" w:eastAsia="仿宋_GB2312" w:cs="Times New Roman"/>
          <w:sz w:val="32"/>
          <w:szCs w:val="32"/>
        </w:rPr>
        <w:t>截至202</w:t>
      </w:r>
      <w:r>
        <w:rPr>
          <w:rFonts w:ascii="仿宋_GB2312" w:hAnsi="Calibri" w:eastAsia="仿宋_GB2312" w:cs="Times New Roman"/>
          <w:sz w:val="32"/>
          <w:szCs w:val="32"/>
        </w:rPr>
        <w:t>1</w:t>
      </w:r>
      <w:r>
        <w:rPr>
          <w:rFonts w:hint="eastAsia" w:ascii="仿宋_GB2312" w:hAnsi="Calibri" w:eastAsia="仿宋_GB2312" w:cs="Times New Roman"/>
          <w:sz w:val="32"/>
          <w:szCs w:val="32"/>
        </w:rPr>
        <w:t>年12月31日，我</w:t>
      </w:r>
      <w:r>
        <w:rPr>
          <w:rFonts w:hint="eastAsia" w:ascii="仿宋_GB2312" w:hAnsi="Calibri" w:eastAsia="仿宋_GB2312" w:cs="Times New Roman"/>
          <w:sz w:val="32"/>
          <w:szCs w:val="32"/>
          <w:lang w:eastAsia="zh-CN"/>
        </w:rPr>
        <w:t>办</w:t>
      </w:r>
      <w:r>
        <w:rPr>
          <w:rFonts w:hint="eastAsia" w:ascii="仿宋_GB2312" w:hAnsi="Calibri" w:eastAsia="仿宋_GB2312" w:cs="Times New Roman"/>
          <w:sz w:val="32"/>
          <w:szCs w:val="32"/>
        </w:rPr>
        <w:t>各项绩效目标均已完成年初预期目标，各项资金全部到位并且支付完成。</w:t>
      </w:r>
    </w:p>
    <w:p>
      <w:pPr>
        <w:numPr>
          <w:ilvl w:val="0"/>
          <w:numId w:val="1"/>
        </w:numPr>
        <w:rPr>
          <w:rFonts w:hint="eastAsia" w:ascii="黑体" w:hAnsi="黑体" w:eastAsia="黑体" w:cs="Times New Roman"/>
          <w:sz w:val="32"/>
          <w:szCs w:val="32"/>
        </w:rPr>
      </w:pPr>
      <w:r>
        <w:rPr>
          <w:rFonts w:hint="eastAsia" w:ascii="黑体" w:hAnsi="黑体" w:eastAsia="黑体" w:cs="Times New Roman"/>
          <w:sz w:val="32"/>
          <w:szCs w:val="32"/>
        </w:rPr>
        <w:t>实现年度发展规划目标的保障措施</w:t>
      </w:r>
    </w:p>
    <w:p>
      <w:pPr>
        <w:spacing w:line="460" w:lineRule="exact"/>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1、完善制度建设。完善预算绩效管理制度、资金管理办法、工作保障制度等，为全年预算绩效目标的实现奠定制度基础。</w:t>
      </w:r>
    </w:p>
    <w:p>
      <w:pPr>
        <w:spacing w:line="460" w:lineRule="exact"/>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2、加强支出管理。通过优化支出结构、编细编实预算、加快履行政府采购手续、尽快启动项目、及时支付资金、按规定及时下达资金等多种措施，确保支出进度达标。</w:t>
      </w:r>
    </w:p>
    <w:p>
      <w:pPr>
        <w:spacing w:line="460" w:lineRule="exact"/>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3、加强绩效运行监控。按要求开展绩效运行监控，发现问题及时采取措施，确保绩效目标如期保质实现。</w:t>
      </w:r>
    </w:p>
    <w:p>
      <w:pPr>
        <w:spacing w:line="460" w:lineRule="exact"/>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4、做好绩效自评。按要求开展上年度部门预算绩效自评和重点评价工作，对评价中发现的问题及时整改，调整优化支出结构，提高财政资金使用效益。</w:t>
      </w:r>
    </w:p>
    <w:p>
      <w:pPr>
        <w:spacing w:line="460" w:lineRule="exact"/>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5、规范财务资产管理。完善财务管理制度，严格审批程序，加强固定资产登记、使用和报废处置管理，做到支出合理，物尽其用。</w:t>
      </w:r>
    </w:p>
    <w:p>
      <w:pPr>
        <w:spacing w:line="460" w:lineRule="exact"/>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460" w:lineRule="exact"/>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7、加强宣传培训调研等。加强人员培训，提高本部门职工业务素质；加强调研，提出优化财政资金配置、提高资金使用效益的意见意见；加大宣传力度，强化预算绩效管理意识，促进预算绩效管理水平进一步提升。</w:t>
      </w:r>
    </w:p>
    <w:p>
      <w:pPr>
        <w:rPr>
          <w:rFonts w:ascii="黑体" w:hAnsi="黑体" w:eastAsia="黑体" w:cs="Times New Roman"/>
          <w:sz w:val="32"/>
          <w:szCs w:val="32"/>
        </w:rPr>
      </w:pPr>
      <w:r>
        <w:rPr>
          <w:rFonts w:hint="eastAsia" w:ascii="黑体" w:hAnsi="黑体" w:eastAsia="黑体" w:cs="Times New Roman"/>
          <w:sz w:val="32"/>
          <w:szCs w:val="32"/>
        </w:rPr>
        <w:t>六、部门整体支出绩效评价指标体系评分表</w:t>
      </w:r>
    </w:p>
    <w:tbl>
      <w:tblPr>
        <w:tblStyle w:val="10"/>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b/>
              </w:rPr>
            </w:pPr>
            <w:r>
              <w:rPr>
                <w:rFonts w:ascii="仿宋_GB2312" w:hAnsi="新宋体" w:eastAsia="仿宋_GB2312" w:cs="仿宋_GB2312"/>
                <w:b/>
                <w:kern w:val="0"/>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投入（1</w:t>
            </w:r>
            <w:r>
              <w:rPr>
                <w:rFonts w:hint="eastAsia" w:ascii="仿宋_GB2312" w:hAnsi="新宋体" w:eastAsia="仿宋_GB2312" w:cs="仿宋_GB2312"/>
                <w:kern w:val="0"/>
                <w:szCs w:val="21"/>
              </w:rPr>
              <w:t>0</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绩效</w:t>
            </w:r>
            <w:r>
              <w:rPr>
                <w:rFonts w:ascii="仿宋_GB2312" w:hAnsi="新宋体" w:eastAsia="仿宋_GB2312" w:cs="仿宋_GB2312"/>
                <w:kern w:val="0"/>
                <w:szCs w:val="21"/>
              </w:rPr>
              <w:t>目标设定</w:t>
            </w:r>
            <w:r>
              <w:rPr>
                <w:rFonts w:hint="eastAsia" w:ascii="仿宋_GB2312" w:hAnsi="新宋体" w:eastAsia="仿宋_GB2312" w:cs="仿宋_GB2312"/>
                <w:kern w:val="0"/>
                <w:szCs w:val="21"/>
              </w:rPr>
              <w:t>情况</w:t>
            </w:r>
          </w:p>
          <w:p>
            <w:pPr>
              <w:widowControl/>
              <w:spacing w:line="240" w:lineRule="exact"/>
              <w:jc w:val="left"/>
              <w:rPr>
                <w:color w:val="FF0000"/>
                <w:szCs w:val="21"/>
              </w:rPr>
            </w:pP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职责明确</w:t>
            </w:r>
            <w:r>
              <w:rPr>
                <w:rFonts w:hint="eastAsia" w:ascii="仿宋_GB2312" w:hAnsi="新宋体" w:eastAsia="仿宋_GB2312" w:cs="仿宋_GB2312"/>
                <w:kern w:val="0"/>
                <w:szCs w:val="21"/>
              </w:rPr>
              <w:t xml:space="preserve"> </w:t>
            </w:r>
            <w:r>
              <w:rPr>
                <w:rFonts w:ascii="仿宋_GB2312" w:hAnsi="新宋体" w:eastAsia="仿宋_GB2312" w:cs="仿宋_GB2312"/>
                <w:kern w:val="0"/>
                <w:szCs w:val="21"/>
              </w:rPr>
              <w:t>（1</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符合（1）；</w:t>
            </w:r>
          </w:p>
          <w:p>
            <w:pPr>
              <w:widowControl/>
              <w:spacing w:line="240" w:lineRule="exact"/>
              <w:jc w:val="left"/>
              <w:rPr>
                <w:szCs w:val="21"/>
              </w:rPr>
            </w:pPr>
            <w:r>
              <w:rPr>
                <w:rFonts w:ascii="仿宋_GB2312" w:hAnsi="新宋体" w:eastAsia="仿宋_GB2312" w:cs="仿宋_GB2312"/>
                <w:kern w:val="0"/>
                <w:szCs w:val="21"/>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活动合规性（2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部门的活动是否在职责范围之内并符合部门中长期规划，用以反映和评价部门活动目标与部门履职、年度工作任务的相符性情况。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1.部门活动的设定在部门所确定的职责范围之内；</w:t>
            </w:r>
          </w:p>
          <w:p>
            <w:pPr>
              <w:widowControl/>
              <w:spacing w:line="240" w:lineRule="exact"/>
              <w:jc w:val="left"/>
              <w:rPr>
                <w:szCs w:val="21"/>
              </w:rPr>
            </w:pPr>
            <w:r>
              <w:rPr>
                <w:rFonts w:ascii="仿宋_GB2312" w:hAnsi="新宋体" w:eastAsia="仿宋_GB2312" w:cs="仿宋_GB2312"/>
                <w:kern w:val="0"/>
                <w:szCs w:val="21"/>
              </w:rPr>
              <w:t>2.部门活动符合</w:t>
            </w:r>
            <w:r>
              <w:rPr>
                <w:rFonts w:hint="eastAsia" w:ascii="仿宋_GB2312" w:hAnsi="新宋体" w:eastAsia="仿宋_GB2312" w:cs="仿宋_GB2312"/>
                <w:kern w:val="0"/>
                <w:szCs w:val="21"/>
              </w:rPr>
              <w:t>市</w:t>
            </w:r>
            <w:r>
              <w:rPr>
                <w:rFonts w:ascii="仿宋_GB2312" w:hAnsi="新宋体" w:eastAsia="仿宋_GB2312" w:cs="仿宋_GB2312"/>
                <w:kern w:val="0"/>
                <w:szCs w:val="21"/>
              </w:rPr>
              <w:t>委、</w:t>
            </w:r>
            <w:r>
              <w:rPr>
                <w:rFonts w:hint="eastAsia" w:ascii="仿宋_GB2312" w:hAnsi="新宋体" w:eastAsia="仿宋_GB2312" w:cs="仿宋_GB2312"/>
                <w:kern w:val="0"/>
                <w:szCs w:val="21"/>
              </w:rPr>
              <w:t>市</w:t>
            </w:r>
            <w:r>
              <w:rPr>
                <w:rFonts w:ascii="仿宋_GB2312" w:hAnsi="新宋体" w:eastAsia="仿宋_GB2312" w:cs="仿宋_GB2312"/>
                <w:kern w:val="0"/>
                <w:szCs w:val="21"/>
              </w:rPr>
              <w:t>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全部符合（2）；</w:t>
            </w:r>
          </w:p>
          <w:p>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活动合理性（2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部门所设立的活动是否明确合理、活动的关键性指标设置是否可衡量，用以反映和评价部门活动目标设定的合理性。</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1.活动目标的设定是可量化的，可通过清晰、可衡量的关键指标值予以体现；</w:t>
            </w:r>
          </w:p>
          <w:p>
            <w:pPr>
              <w:widowControl/>
              <w:spacing w:line="240" w:lineRule="exact"/>
              <w:jc w:val="left"/>
              <w:rPr>
                <w:szCs w:val="21"/>
              </w:rPr>
            </w:pPr>
            <w:r>
              <w:rPr>
                <w:rFonts w:ascii="仿宋_GB2312" w:hAnsi="新宋体" w:eastAsia="仿宋_GB2312" w:cs="仿宋_GB2312"/>
                <w:kern w:val="0"/>
                <w:szCs w:val="21"/>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全部符合（2）；</w:t>
            </w:r>
          </w:p>
          <w:p>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预算配置</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在职人员控制率（</w:t>
            </w:r>
            <w:r>
              <w:rPr>
                <w:rFonts w:hint="eastAsia" w:ascii="仿宋_GB2312" w:hAnsi="新宋体" w:eastAsia="仿宋_GB2312" w:cs="仿宋_GB2312"/>
                <w:kern w:val="0"/>
                <w:szCs w:val="21"/>
              </w:rPr>
              <w:t>1分</w:t>
            </w:r>
            <w:r>
              <w:rPr>
                <w:rFonts w:ascii="仿宋_GB2312" w:hAnsi="新宋体" w:eastAsia="仿宋_GB2312" w:cs="仿宋_GB2312"/>
                <w:kern w:val="0"/>
                <w:szCs w:val="21"/>
              </w:rPr>
              <w:t>）</w:t>
            </w:r>
          </w:p>
        </w:tc>
        <w:tc>
          <w:tcPr>
            <w:tcW w:w="3436"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部门本年度实际在职人员数与编制数的比率，用以反映和评价部门对人员成本的控制程度。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在职人员控制率=（在职人员数/编制数）×100%。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在职人员数：部门实际在职人数，以财政部确定的部门决算编制口径为准，由编制部门和人劳部门批复同意的临聘人员除外。</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1.在职人员控制率小于或等于100%的，得满分；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2.在职人员控制率大于或等于115%的，得0分；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3.在职人员控制率在100%-115%之间的，在0分和满分之间计算确定：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预算数与上年度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预算数的变动比率，用以反映和考核部门对控制重点行政成本的努力程度。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变动率=[（本年度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小于或等于</w:t>
            </w:r>
            <w:r>
              <w:rPr>
                <w:rFonts w:hint="eastAsia" w:ascii="仿宋_GB2312" w:hAnsi="新宋体" w:eastAsia="仿宋_GB2312" w:cs="仿宋_GB2312"/>
                <w:kern w:val="0"/>
                <w:szCs w:val="21"/>
              </w:rPr>
              <w:t>-5</w:t>
            </w:r>
            <w:r>
              <w:rPr>
                <w:rFonts w:ascii="仿宋_GB2312" w:hAnsi="新宋体" w:eastAsia="仿宋_GB2312" w:cs="仿宋_GB2312"/>
                <w:kern w:val="0"/>
                <w:szCs w:val="21"/>
              </w:rPr>
              <w:t>%的，得满分；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大于或等于1</w:t>
            </w:r>
            <w:r>
              <w:rPr>
                <w:rFonts w:hint="eastAsia" w:ascii="仿宋_GB2312" w:hAnsi="新宋体" w:eastAsia="仿宋_GB2312" w:cs="仿宋_GB2312"/>
                <w:kern w:val="0"/>
                <w:szCs w:val="21"/>
              </w:rPr>
              <w:t>0</w:t>
            </w:r>
            <w:r>
              <w:rPr>
                <w:rFonts w:ascii="仿宋_GB2312" w:hAnsi="新宋体" w:eastAsia="仿宋_GB2312" w:cs="仿宋_GB2312"/>
                <w:kern w:val="0"/>
                <w:szCs w:val="21"/>
              </w:rPr>
              <w:t>%的，得0分；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r>
              <w:rPr>
                <w:rFonts w:hint="eastAsia" w:ascii="仿宋_GB2312" w:hAnsi="新宋体" w:eastAsia="仿宋_GB2312" w:cs="仿宋_GB2312"/>
                <w:kern w:val="0"/>
                <w:szCs w:val="21"/>
              </w:rPr>
              <w:t>10</w:t>
            </w:r>
            <w:r>
              <w:rPr>
                <w:rFonts w:ascii="仿宋_GB2312" w:hAnsi="新宋体" w:eastAsia="仿宋_GB2312" w:cs="仿宋_GB2312"/>
                <w:kern w:val="0"/>
                <w:szCs w:val="21"/>
              </w:rPr>
              <w:t>%之间的，在0分和满分之间计算确定：</w:t>
            </w:r>
          </w:p>
          <w:p>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得分=[max（</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]/[max（</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）－min（</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2</w:t>
            </w:r>
          </w:p>
          <w:p>
            <w:pPr>
              <w:widowControl/>
              <w:spacing w:line="240" w:lineRule="exact"/>
              <w:jc w:val="lef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bottom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重点支出安排率（2分）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在85%-95%之间的，在0分和满分之间计算确定：</w:t>
            </w:r>
          </w:p>
          <w:p>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得分=[某部门</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）]/[max（</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过程(</w:t>
            </w:r>
            <w:r>
              <w:rPr>
                <w:rFonts w:hint="eastAsia" w:ascii="仿宋_GB2312" w:hAnsi="新宋体" w:eastAsia="仿宋_GB2312" w:cs="仿宋_GB2312"/>
                <w:kern w:val="0"/>
                <w:szCs w:val="21"/>
              </w:rPr>
              <w:t>45分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预算执行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25分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预算完成率（5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通过对部门本年度预算完成数与预算数的比较，反映和评价部门预算的完成程度。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1.预算完成率大于或等于95%的，得满分；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2.预算完成率小于或等于85%的，得0分；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3.预算完成率在85%-95%之间的，在0分和满分之间计算确定：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预算调整率（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部门本年度预算调整数与预算数的比率，用以反映和评价部门预算的调整程度。</w:t>
            </w:r>
          </w:p>
          <w:p>
            <w:pPr>
              <w:widowControl/>
              <w:spacing w:line="240" w:lineRule="exact"/>
              <w:jc w:val="left"/>
              <w:rPr>
                <w:szCs w:val="21"/>
              </w:rPr>
            </w:pPr>
            <w:r>
              <w:rPr>
                <w:rFonts w:ascii="仿宋_GB2312" w:hAnsi="新宋体" w:eastAsia="仿宋_GB2312" w:cs="仿宋_GB2312"/>
                <w:kern w:val="0"/>
                <w:szCs w:val="21"/>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 xml:space="preserve">1.预算调整率等于0的，得满分； </w:t>
            </w:r>
          </w:p>
          <w:p>
            <w:pPr>
              <w:widowControl/>
              <w:spacing w:line="240" w:lineRule="exact"/>
              <w:jc w:val="left"/>
              <w:rPr>
                <w:szCs w:val="21"/>
              </w:rPr>
            </w:pPr>
            <w:r>
              <w:rPr>
                <w:rFonts w:ascii="仿宋_GB2312" w:hAnsi="新宋体" w:eastAsia="仿宋_GB2312" w:cs="仿宋_GB2312"/>
                <w:kern w:val="0"/>
                <w:szCs w:val="21"/>
              </w:rPr>
              <w:t>2.预算调整率大于或等于10%的，得0分；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3.预算调整率在0-10%之间的，在0分和满分之间确定：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eastAsia="zh-CN"/>
              </w:rPr>
            </w:pPr>
            <w:r>
              <w:rPr>
                <w:rFonts w:hint="eastAsia"/>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color w:val="000000"/>
                <w:kern w:val="0"/>
                <w:szCs w:val="21"/>
              </w:rPr>
              <w:t>支付进度率</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度支付数与</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度任务数的比率，用以反映和评价部门预算执行的及时和均衡程度。</w:t>
            </w:r>
          </w:p>
          <w:p>
            <w:pPr>
              <w:widowControl/>
              <w:spacing w:line="240" w:lineRule="exact"/>
              <w:jc w:val="left"/>
              <w:rPr>
                <w:szCs w:val="21"/>
              </w:rPr>
            </w:pPr>
            <w:r>
              <w:rPr>
                <w:rFonts w:ascii="仿宋_GB2312" w:hAnsi="新宋体" w:eastAsia="仿宋_GB2312" w:cs="仿宋_GB2312"/>
                <w:kern w:val="0"/>
                <w:szCs w:val="21"/>
              </w:rPr>
              <w:t>支付进度率=（</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按</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度的执行情况进行打分</w:t>
            </w:r>
            <w:r>
              <w:rPr>
                <w:rFonts w:hint="eastAsia" w:ascii="仿宋_GB2312" w:hAnsi="新宋体" w:eastAsia="仿宋_GB2312" w:cs="仿宋_GB2312"/>
                <w:kern w:val="0"/>
                <w:szCs w:val="21"/>
              </w:rPr>
              <w:t>。</w:t>
            </w:r>
            <w:r>
              <w:rPr>
                <w:rFonts w:ascii="仿宋_GB2312" w:hAnsi="新宋体" w:eastAsia="仿宋_GB2312" w:cs="仿宋_GB2312"/>
                <w:kern w:val="0"/>
                <w:szCs w:val="21"/>
              </w:rPr>
              <w:t>得分=</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度任务数×该指标分值。</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结转结余率（4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通过对部门本年度结转结余总额与支出预算数的比较，反映和评价部门对本年度结转结余资金的实际控制程度。</w:t>
            </w:r>
          </w:p>
          <w:p>
            <w:pPr>
              <w:widowControl/>
              <w:spacing w:line="240" w:lineRule="exact"/>
              <w:jc w:val="left"/>
              <w:rPr>
                <w:szCs w:val="21"/>
              </w:rPr>
            </w:pPr>
            <w:r>
              <w:rPr>
                <w:rFonts w:ascii="仿宋_GB2312" w:hAnsi="新宋体" w:eastAsia="仿宋_GB2312" w:cs="仿宋_GB2312"/>
                <w:kern w:val="0"/>
                <w:szCs w:val="21"/>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1.结转结余率等于0的，得满分；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2.结转结余率大于或等于50%的，得0分；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3.结转结余率在0-50%之间的，在0和满分之间计算确定：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公用经费控制率（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通过对部门本年度实际支出的公用经费总额与预算安排的公用经费总额的比率，反映和评价部门对机构运转成本的实际控制程度。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1.公用经费控制率小于或等于100%的，得满分；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2.公用经费控制率大于或等于105%的，得0分；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3.公用经费控制率在100%-105%之间的，在0和满分之间计算确定：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政府采购执行率（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通过对部门本年度实际政府采购预算项目个数与政府采购预算项目个数的比较，反映和评价部门政府采购预算执行情况。</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政府采购执行率=（实际政府采购预算项目个数/政府采购预算项目个数）×100%。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1.政府采购执行率等于100%的，得满分；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2.政府采购执行率小于或等于90%的，0分；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3.政府采购执行率在90%-100%之间的，在0和满分之间计算确定：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预算管理</w:t>
            </w:r>
            <w:r>
              <w:rPr>
                <w:rFonts w:hint="eastAsia" w:ascii="仿宋_GB2312" w:hAnsi="新宋体" w:eastAsia="仿宋_GB2312" w:cs="仿宋_GB2312"/>
                <w:kern w:val="0"/>
                <w:szCs w:val="21"/>
              </w:rPr>
              <w:t>情况</w:t>
            </w:r>
          </w:p>
          <w:p>
            <w:pPr>
              <w:widowControl/>
              <w:spacing w:line="240" w:lineRule="exact"/>
              <w:jc w:val="left"/>
              <w:rPr>
                <w:szCs w:val="21"/>
              </w:rPr>
            </w:pPr>
            <w:r>
              <w:rPr>
                <w:rFonts w:ascii="仿宋_GB2312" w:hAnsi="新宋体" w:eastAsia="仿宋_GB2312" w:cs="仿宋_GB2312"/>
                <w:kern w:val="0"/>
                <w:szCs w:val="21"/>
              </w:rPr>
              <w:t>（15）</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资金使用合规性（8</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部门使用预算资金是否符合相关的预算财务管理制度的规定，反映和评价部门预算资金的规范运行情况。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1.符合国家财经法规和财务管理制度规定以及有关部门资金管理办法的规定；</w:t>
            </w:r>
          </w:p>
          <w:p>
            <w:pPr>
              <w:widowControl/>
              <w:spacing w:line="240" w:lineRule="exact"/>
              <w:jc w:val="left"/>
              <w:rPr>
                <w:szCs w:val="21"/>
              </w:rPr>
            </w:pPr>
            <w:r>
              <w:rPr>
                <w:rFonts w:ascii="仿宋_GB2312" w:hAnsi="新宋体" w:eastAsia="仿宋_GB2312" w:cs="仿宋_GB2312"/>
                <w:kern w:val="0"/>
                <w:szCs w:val="21"/>
              </w:rPr>
              <w:t>2.资金的拨付有完整的审批过程和手续；</w:t>
            </w:r>
          </w:p>
          <w:p>
            <w:pPr>
              <w:widowControl/>
              <w:spacing w:line="240" w:lineRule="exact"/>
              <w:jc w:val="left"/>
              <w:rPr>
                <w:szCs w:val="21"/>
              </w:rPr>
            </w:pPr>
            <w:r>
              <w:rPr>
                <w:rFonts w:ascii="仿宋_GB2312" w:hAnsi="新宋体" w:eastAsia="仿宋_GB2312" w:cs="仿宋_GB2312"/>
                <w:kern w:val="0"/>
                <w:szCs w:val="21"/>
              </w:rPr>
              <w:t>3.项目的重大开支经过评估论证；</w:t>
            </w:r>
          </w:p>
          <w:p>
            <w:pPr>
              <w:widowControl/>
              <w:spacing w:line="240" w:lineRule="exact"/>
              <w:jc w:val="left"/>
              <w:rPr>
                <w:szCs w:val="21"/>
              </w:rPr>
            </w:pPr>
            <w:r>
              <w:rPr>
                <w:rFonts w:ascii="仿宋_GB2312" w:hAnsi="新宋体" w:eastAsia="仿宋_GB2312" w:cs="仿宋_GB2312"/>
                <w:kern w:val="0"/>
                <w:szCs w:val="21"/>
              </w:rPr>
              <w:t>4.符合部门预算批复的用途；</w:t>
            </w:r>
          </w:p>
          <w:p>
            <w:pPr>
              <w:widowControl/>
              <w:spacing w:line="240" w:lineRule="exact"/>
              <w:jc w:val="left"/>
              <w:rPr>
                <w:szCs w:val="21"/>
              </w:rPr>
            </w:pPr>
            <w:r>
              <w:rPr>
                <w:rFonts w:ascii="仿宋_GB2312" w:hAnsi="新宋体" w:eastAsia="仿宋_GB2312" w:cs="仿宋_GB2312"/>
                <w:kern w:val="0"/>
                <w:szCs w:val="21"/>
              </w:rPr>
              <w:t>5.不存在截留情况；</w:t>
            </w:r>
          </w:p>
          <w:p>
            <w:pPr>
              <w:widowControl/>
              <w:spacing w:line="240" w:lineRule="exact"/>
              <w:jc w:val="left"/>
              <w:rPr>
                <w:szCs w:val="21"/>
              </w:rPr>
            </w:pPr>
            <w:r>
              <w:rPr>
                <w:rFonts w:ascii="仿宋_GB2312" w:hAnsi="新宋体" w:eastAsia="仿宋_GB2312" w:cs="仿宋_GB2312"/>
                <w:kern w:val="0"/>
                <w:szCs w:val="21"/>
              </w:rPr>
              <w:t>6.不存在挤占情况；</w:t>
            </w:r>
          </w:p>
          <w:p>
            <w:pPr>
              <w:widowControl/>
              <w:spacing w:line="240" w:lineRule="exact"/>
              <w:jc w:val="left"/>
              <w:rPr>
                <w:szCs w:val="21"/>
              </w:rPr>
            </w:pPr>
            <w:r>
              <w:rPr>
                <w:rFonts w:ascii="仿宋_GB2312" w:hAnsi="新宋体" w:eastAsia="仿宋_GB2312" w:cs="仿宋_GB2312"/>
                <w:kern w:val="0"/>
                <w:szCs w:val="21"/>
              </w:rPr>
              <w:t>7.不存在挪用情况；</w:t>
            </w:r>
          </w:p>
          <w:p>
            <w:pPr>
              <w:widowControl/>
              <w:spacing w:line="240" w:lineRule="exact"/>
              <w:jc w:val="left"/>
              <w:rPr>
                <w:szCs w:val="21"/>
              </w:rPr>
            </w:pPr>
            <w:r>
              <w:rPr>
                <w:rFonts w:ascii="仿宋_GB2312" w:hAnsi="新宋体" w:eastAsia="仿宋_GB2312" w:cs="仿宋_GB2312"/>
                <w:kern w:val="0"/>
                <w:szCs w:val="21"/>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全部符合（8）；</w:t>
            </w:r>
          </w:p>
          <w:p>
            <w:pPr>
              <w:widowControl/>
              <w:spacing w:line="240" w:lineRule="exact"/>
              <w:jc w:val="left"/>
              <w:rPr>
                <w:szCs w:val="21"/>
              </w:rPr>
            </w:pPr>
            <w:r>
              <w:rPr>
                <w:rFonts w:ascii="仿宋_GB2312" w:hAnsi="新宋体" w:eastAsia="仿宋_GB2312" w:cs="仿宋_GB2312"/>
                <w:kern w:val="0"/>
                <w:szCs w:val="21"/>
              </w:rPr>
              <w:t>符合其中七项（6）；</w:t>
            </w:r>
          </w:p>
          <w:p>
            <w:pPr>
              <w:widowControl/>
              <w:spacing w:line="240" w:lineRule="exact"/>
              <w:jc w:val="left"/>
              <w:rPr>
                <w:szCs w:val="21"/>
              </w:rPr>
            </w:pPr>
            <w:r>
              <w:rPr>
                <w:rFonts w:ascii="仿宋_GB2312" w:hAnsi="新宋体" w:eastAsia="仿宋_GB2312" w:cs="仿宋_GB2312"/>
                <w:kern w:val="0"/>
                <w:szCs w:val="21"/>
              </w:rPr>
              <w:t>符合其中六项（4）；</w:t>
            </w:r>
          </w:p>
          <w:p>
            <w:pPr>
              <w:widowControl/>
              <w:spacing w:line="240" w:lineRule="exact"/>
              <w:jc w:val="left"/>
              <w:rPr>
                <w:szCs w:val="21"/>
              </w:rPr>
            </w:pPr>
            <w:r>
              <w:rPr>
                <w:rFonts w:ascii="仿宋_GB2312" w:hAnsi="新宋体" w:eastAsia="仿宋_GB2312" w:cs="仿宋_GB2312"/>
                <w:kern w:val="0"/>
                <w:szCs w:val="21"/>
              </w:rPr>
              <w:t>符合其中五项（2）；</w:t>
            </w:r>
          </w:p>
          <w:p>
            <w:pPr>
              <w:widowControl/>
              <w:spacing w:line="240" w:lineRule="exact"/>
              <w:jc w:val="left"/>
              <w:rPr>
                <w:szCs w:val="21"/>
              </w:rPr>
            </w:pPr>
            <w:r>
              <w:rPr>
                <w:rFonts w:ascii="仿宋_GB2312" w:hAnsi="新宋体" w:eastAsia="仿宋_GB2312" w:cs="仿宋_GB2312"/>
                <w:kern w:val="0"/>
                <w:szCs w:val="21"/>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预决算信息公开性（3</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部门是否按照政府信息公开有关规定公开相关预决算信息，用以反映和评价部门预决算管理的公开透明情况。</w:t>
            </w:r>
          </w:p>
          <w:p>
            <w:pPr>
              <w:widowControl/>
              <w:spacing w:line="240" w:lineRule="exact"/>
              <w:jc w:val="left"/>
              <w:rPr>
                <w:szCs w:val="21"/>
              </w:rPr>
            </w:pPr>
            <w:r>
              <w:rPr>
                <w:rFonts w:ascii="仿宋_GB2312" w:hAnsi="新宋体" w:eastAsia="仿宋_GB2312" w:cs="仿宋_GB2312"/>
                <w:kern w:val="0"/>
                <w:szCs w:val="21"/>
              </w:rPr>
              <w:t>预决算信息是指与部门预算、执行、决算、监督、绩效等管理相关的信息。</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1.公开预决算信息；</w:t>
            </w:r>
          </w:p>
          <w:p>
            <w:pPr>
              <w:widowControl/>
              <w:spacing w:line="240" w:lineRule="exact"/>
              <w:jc w:val="left"/>
              <w:rPr>
                <w:szCs w:val="21"/>
              </w:rPr>
            </w:pPr>
            <w:r>
              <w:rPr>
                <w:rFonts w:ascii="仿宋_GB2312" w:hAnsi="新宋体" w:eastAsia="仿宋_GB2312" w:cs="仿宋_GB2312"/>
                <w:kern w:val="0"/>
                <w:szCs w:val="21"/>
              </w:rPr>
              <w:t>2.按规定内容公开预决算信息；</w:t>
            </w:r>
          </w:p>
          <w:p>
            <w:pPr>
              <w:widowControl/>
              <w:spacing w:line="240" w:lineRule="exact"/>
              <w:jc w:val="left"/>
              <w:rPr>
                <w:szCs w:val="21"/>
              </w:rPr>
            </w:pPr>
            <w:r>
              <w:rPr>
                <w:rFonts w:ascii="仿宋_GB2312" w:hAnsi="新宋体" w:eastAsia="仿宋_GB2312" w:cs="仿宋_GB2312"/>
                <w:kern w:val="0"/>
                <w:szCs w:val="21"/>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全部符合（3）；</w:t>
            </w:r>
          </w:p>
          <w:p>
            <w:pPr>
              <w:widowControl/>
              <w:spacing w:line="240" w:lineRule="exact"/>
              <w:jc w:val="left"/>
              <w:rPr>
                <w:szCs w:val="21"/>
              </w:rPr>
            </w:pPr>
            <w:r>
              <w:rPr>
                <w:rFonts w:ascii="仿宋_GB2312" w:hAnsi="新宋体" w:eastAsia="仿宋_GB2312" w:cs="仿宋_GB2312"/>
                <w:kern w:val="0"/>
                <w:szCs w:val="21"/>
              </w:rPr>
              <w:t>符合其中两项（2）</w:t>
            </w:r>
          </w:p>
          <w:p>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color w:val="000000"/>
                <w:kern w:val="0"/>
                <w:szCs w:val="21"/>
              </w:rPr>
              <w:t>基础信息完善性</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部门基础信息是否完善，用以反映和评价基础信息对预算管理工作的支撑情况。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1.基本财务管理制度健全；</w:t>
            </w:r>
          </w:p>
          <w:p>
            <w:pPr>
              <w:widowControl/>
              <w:spacing w:line="240" w:lineRule="exact"/>
              <w:jc w:val="left"/>
              <w:rPr>
                <w:szCs w:val="21"/>
              </w:rPr>
            </w:pPr>
            <w:r>
              <w:rPr>
                <w:rFonts w:ascii="仿宋_GB2312" w:hAnsi="新宋体" w:eastAsia="仿宋_GB2312" w:cs="仿宋_GB2312"/>
                <w:kern w:val="0"/>
                <w:szCs w:val="21"/>
              </w:rPr>
              <w:t>2.基础数据信息和会计信息资料真实；</w:t>
            </w:r>
          </w:p>
          <w:p>
            <w:pPr>
              <w:widowControl/>
              <w:spacing w:line="240" w:lineRule="exact"/>
              <w:jc w:val="left"/>
              <w:rPr>
                <w:szCs w:val="21"/>
              </w:rPr>
            </w:pPr>
            <w:r>
              <w:rPr>
                <w:rFonts w:ascii="仿宋_GB2312" w:hAnsi="新宋体" w:eastAsia="仿宋_GB2312" w:cs="仿宋_GB2312"/>
                <w:kern w:val="0"/>
                <w:szCs w:val="21"/>
              </w:rPr>
              <w:t>3.基础数据信息和会计信息资料完整；</w:t>
            </w:r>
          </w:p>
          <w:p>
            <w:pPr>
              <w:widowControl/>
              <w:spacing w:line="240" w:lineRule="exact"/>
              <w:jc w:val="left"/>
              <w:rPr>
                <w:szCs w:val="21"/>
              </w:rPr>
            </w:pPr>
            <w:r>
              <w:rPr>
                <w:rFonts w:ascii="仿宋_GB2312" w:hAnsi="新宋体" w:eastAsia="仿宋_GB2312" w:cs="仿宋_GB2312"/>
                <w:kern w:val="0"/>
                <w:szCs w:val="21"/>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符合全部四项（4）；</w:t>
            </w:r>
          </w:p>
          <w:p>
            <w:pPr>
              <w:widowControl/>
              <w:spacing w:line="240" w:lineRule="exact"/>
              <w:jc w:val="left"/>
              <w:rPr>
                <w:szCs w:val="21"/>
              </w:rPr>
            </w:pPr>
            <w:r>
              <w:rPr>
                <w:rFonts w:ascii="仿宋_GB2312" w:hAnsi="新宋体" w:eastAsia="仿宋_GB2312" w:cs="仿宋_GB2312"/>
                <w:kern w:val="0"/>
                <w:szCs w:val="21"/>
              </w:rPr>
              <w:t>符合其中三项（2）；</w:t>
            </w:r>
          </w:p>
          <w:p>
            <w:pPr>
              <w:widowControl/>
              <w:spacing w:line="240" w:lineRule="exact"/>
              <w:jc w:val="left"/>
              <w:rPr>
                <w:szCs w:val="21"/>
              </w:rPr>
            </w:pPr>
            <w:r>
              <w:rPr>
                <w:rFonts w:ascii="仿宋_GB2312" w:hAnsi="新宋体" w:eastAsia="仿宋_GB2312" w:cs="仿宋_GB2312"/>
                <w:kern w:val="0"/>
                <w:szCs w:val="21"/>
              </w:rPr>
              <w:t>符合其中两项（1）；</w:t>
            </w:r>
          </w:p>
          <w:p>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资产管理</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资产管理完整性（</w:t>
            </w:r>
            <w:r>
              <w:rPr>
                <w:rFonts w:hint="eastAsia" w:ascii="仿宋_GB2312" w:hAnsi="新宋体" w:eastAsia="仿宋_GB2312" w:cs="仿宋_GB2312"/>
                <w:kern w:val="0"/>
                <w:szCs w:val="21"/>
              </w:rPr>
              <w:t>2分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部门的资产是否保存完整、使用合规、收入及时足额上缴，用以反映和评价部门资产运行情况。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1.资产保存完整；</w:t>
            </w:r>
          </w:p>
          <w:p>
            <w:pPr>
              <w:widowControl/>
              <w:spacing w:line="240" w:lineRule="exact"/>
              <w:jc w:val="left"/>
              <w:rPr>
                <w:szCs w:val="21"/>
              </w:rPr>
            </w:pPr>
            <w:r>
              <w:rPr>
                <w:rFonts w:ascii="仿宋_GB2312" w:hAnsi="新宋体" w:eastAsia="仿宋_GB2312" w:cs="仿宋_GB2312"/>
                <w:kern w:val="0"/>
                <w:szCs w:val="21"/>
              </w:rPr>
              <w:t>2.资产账务管理是否合规，帐实相符；</w:t>
            </w:r>
          </w:p>
          <w:p>
            <w:pPr>
              <w:widowControl/>
              <w:spacing w:line="240" w:lineRule="exact"/>
              <w:jc w:val="left"/>
              <w:rPr>
                <w:szCs w:val="21"/>
              </w:rPr>
            </w:pPr>
            <w:r>
              <w:rPr>
                <w:rFonts w:ascii="仿宋_GB2312" w:hAnsi="新宋体" w:eastAsia="仿宋_GB2312" w:cs="仿宋_GB2312"/>
                <w:kern w:val="0"/>
                <w:szCs w:val="21"/>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符合全部三项（3）；</w:t>
            </w:r>
          </w:p>
          <w:p>
            <w:pPr>
              <w:widowControl/>
              <w:spacing w:line="240" w:lineRule="exact"/>
              <w:jc w:val="left"/>
              <w:rPr>
                <w:szCs w:val="21"/>
              </w:rPr>
            </w:pPr>
            <w:r>
              <w:rPr>
                <w:rFonts w:ascii="仿宋_GB2312" w:hAnsi="新宋体" w:eastAsia="仿宋_GB2312" w:cs="仿宋_GB2312"/>
                <w:kern w:val="0"/>
                <w:szCs w:val="21"/>
              </w:rPr>
              <w:t>符合其中两项（2）；</w:t>
            </w:r>
          </w:p>
          <w:p>
            <w:pPr>
              <w:widowControl/>
              <w:spacing w:line="240" w:lineRule="exact"/>
              <w:jc w:val="left"/>
              <w:rPr>
                <w:szCs w:val="21"/>
              </w:rPr>
            </w:pPr>
            <w:r>
              <w:rPr>
                <w:rFonts w:ascii="仿宋_GB2312" w:hAnsi="新宋体" w:eastAsia="仿宋_GB2312" w:cs="仿宋_GB2312"/>
                <w:kern w:val="0"/>
                <w:szCs w:val="21"/>
              </w:rPr>
              <w:t>符合其中一项（1）；</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固定资产利用率（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部门实际在用固定资产总额与所有固定资产总额的比率，用以反映和评价部门固定资产使用效率。</w:t>
            </w:r>
          </w:p>
          <w:p>
            <w:pPr>
              <w:widowControl/>
              <w:spacing w:line="240" w:lineRule="exact"/>
              <w:jc w:val="left"/>
              <w:rPr>
                <w:szCs w:val="21"/>
              </w:rPr>
            </w:pPr>
            <w:r>
              <w:rPr>
                <w:rFonts w:ascii="仿宋_GB2312" w:hAnsi="新宋体" w:eastAsia="仿宋_GB2312" w:cs="仿宋_GB2312"/>
                <w:kern w:val="0"/>
                <w:szCs w:val="21"/>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1.固定资产利用率大于或等于95%的，得满分；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2.固定资产利用率小于或等于85%的，得0分；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3.固定资产利用率在85%-95%之间的，在0和满分之间计算确定：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产出(2</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职责履行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（2</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履职完成情况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10分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rPr>
              <w:t>根据年度主要任务分解表的的具体任务，逐项评价任务量化指标完成情况、实施效果和责任制建立情况。用以反映和考核部门（单位）履职工作任务目标的完成情况。评价要点：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1.每项任务是否已制定了明确、具体、可量化、可衡量的绩效指标；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2.每项任务绩效指标的完成情况，是全部完成、基本完成、未完成，还是未实施；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3.每项任务实施效果情况，是优秀、良好、一般，还是无效果；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项目</w:t>
            </w:r>
            <w:r>
              <w:rPr>
                <w:rFonts w:hint="eastAsia" w:ascii="仿宋_GB2312" w:hAnsi="新宋体" w:eastAsia="仿宋_GB2312" w:cs="仿宋_GB2312"/>
                <w:kern w:val="0"/>
                <w:szCs w:val="21"/>
              </w:rPr>
              <w:t>完成</w:t>
            </w:r>
            <w:r>
              <w:rPr>
                <w:rFonts w:ascii="仿宋_GB2312" w:hAnsi="新宋体" w:eastAsia="仿宋_GB2312" w:cs="仿宋_GB2312"/>
                <w:kern w:val="0"/>
                <w:szCs w:val="21"/>
              </w:rPr>
              <w:t>质量达标率（</w:t>
            </w:r>
            <w:r>
              <w:rPr>
                <w:rFonts w:hint="eastAsia" w:ascii="仿宋_GB2312" w:hAnsi="新宋体" w:eastAsia="仿宋_GB2312" w:cs="仿宋_GB2312"/>
                <w:kern w:val="0"/>
                <w:szCs w:val="21"/>
              </w:rPr>
              <w:t>15</w:t>
            </w:r>
            <w:r>
              <w:rPr>
                <w:rFonts w:ascii="仿宋_GB2312" w:hAnsi="新宋体" w:eastAsia="仿宋_GB2312" w:cs="仿宋_GB2312"/>
                <w:kern w:val="0"/>
                <w:szCs w:val="21"/>
              </w:rPr>
              <w:t>）</w:t>
            </w:r>
          </w:p>
        </w:tc>
        <w:tc>
          <w:tcPr>
            <w:tcW w:w="3436"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部门已完成项目中质量达标项目个数占已完成项目个数的比率,用以反映和评价部门履职质量目标的实现程度。</w:t>
            </w:r>
          </w:p>
          <w:p>
            <w:pPr>
              <w:widowControl/>
              <w:spacing w:line="240" w:lineRule="exact"/>
              <w:jc w:val="left"/>
              <w:rPr>
                <w:szCs w:val="21"/>
              </w:rPr>
            </w:pPr>
            <w:r>
              <w:rPr>
                <w:rFonts w:ascii="仿宋_GB2312" w:hAnsi="新宋体" w:eastAsia="仿宋_GB2312" w:cs="仿宋_GB2312"/>
                <w:kern w:val="0"/>
                <w:szCs w:val="21"/>
              </w:rPr>
              <w:t>项目质量达标率=（已完成项目中质量达标项目个数/已完成项目个数）×100%。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项目质量达标是指项目决算验收合格。</w:t>
            </w:r>
          </w:p>
        </w:tc>
        <w:tc>
          <w:tcPr>
            <w:tcW w:w="2373"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1.项目质量达标率等于100%的，得满分；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2.项目质量达标率小于或等于99%的，得0分；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 xml:space="preserve">3.项目质量达标率在99%-100%之间的，在0和满分之间计算确定： </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rFonts w:hint="default" w:eastAsiaTheme="minorEastAsia"/>
                <w:szCs w:val="21"/>
                <w:lang w:val="en-US" w:eastAsia="zh-CN"/>
              </w:rPr>
            </w:pPr>
            <w:r>
              <w:rPr>
                <w:rFonts w:hint="eastAsia"/>
                <w:szCs w:val="21"/>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效果（</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743" w:type="dxa"/>
            <w:vMerge w:val="restart"/>
            <w:tcBorders>
              <w:top w:val="single" w:color="auto" w:sz="4" w:space="0"/>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p>
            <w:pPr>
              <w:widowControl/>
              <w:spacing w:line="240" w:lineRule="exact"/>
              <w:jc w:val="left"/>
              <w:rPr>
                <w:rFonts w:ascii="仿宋_GB2312" w:hAnsi="新宋体" w:eastAsia="仿宋_GB2312" w:cs="仿宋_GB2312"/>
                <w:kern w:val="0"/>
                <w:szCs w:val="21"/>
              </w:rPr>
            </w:pPr>
            <w:r>
              <w:rPr>
                <w:rFonts w:hint="eastAsia" w:ascii="仿宋_GB2312" w:hAnsi="新宋体" w:eastAsia="仿宋_GB2312" w:cs="仿宋_GB2312"/>
                <w:kern w:val="0"/>
                <w:szCs w:val="21"/>
              </w:rPr>
              <w:t>履职效益情况</w:t>
            </w:r>
          </w:p>
          <w:p>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color w:val="000000"/>
                <w:kern w:val="0"/>
                <w:szCs w:val="21"/>
              </w:rPr>
              <w:t>经济效益</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部门及所属二级单位通过履行职责和预算安排支出项目的实施，对我市带来的经济影响。</w:t>
            </w:r>
          </w:p>
          <w:p>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1.通过部门所属企事业单位改革，促进了企事业单位效益增长情况；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2.通过预算支出项目的实施，促进了行业生产能力增长，从而带动行业经济效益增长；</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3.通过预算支出项目的实施，有效提高劳动效率，节约成本费用；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4.通过预算支出项目的实施，降低了损耗，从而提高了生产效益；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部门及所属二级单位履行职责对社会发展所带来的直接或间接影响。</w:t>
            </w:r>
          </w:p>
          <w:p>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1.通过部门所属企事业单位的改革，促进了企事业单位可持续发展，带动就业增长情况；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2.通过预算支出项目的实施，是否明显促进了行业精神文明建设；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3.通过部门履职是否明显提高城乡居民生活水平，满足了人们日益增长的物质与文化生活需求；</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4.通过预算项目的实施，是否提高了劳动生产率，降低了劳动强度，促进了劳动人民的身心健康；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部门及所属二级单位履行职责对生态环境所带来的直接或间接影响。</w:t>
            </w:r>
          </w:p>
          <w:p>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1.通过预算支出项目的实施，绿色、节能环保新技术的应用和推广，明显带动各环节的节能减排，也具有一定的环境效益；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2.通过履职有效地控制虚假、伪劣、霉变等劣质产品进入市场，影响了人民生活质量，净化地市场环境；</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3.通过预算支出项目的实施，是否达到减少污染物排放；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eastAsia="zh-CN"/>
              </w:rPr>
            </w:pPr>
            <w:r>
              <w:rPr>
                <w:rFonts w:hint="eastAsia"/>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服务对象</w:t>
            </w:r>
            <w:r>
              <w:rPr>
                <w:rFonts w:ascii="仿宋_GB2312" w:hAnsi="新宋体" w:eastAsia="仿宋_GB2312" w:cs="仿宋_GB2312"/>
                <w:kern w:val="0"/>
                <w:szCs w:val="21"/>
              </w:rPr>
              <w:t>满意度（5）</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hint="eastAsia" w:ascii="仿宋_GB2312" w:hAnsi="新宋体" w:eastAsia="仿宋_GB2312" w:cs="仿宋_GB2312"/>
                <w:kern w:val="0"/>
                <w:szCs w:val="21"/>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pPr>
              <w:widowControl/>
              <w:spacing w:line="240" w:lineRule="exact"/>
              <w:rPr>
                <w:szCs w:val="21"/>
              </w:rPr>
            </w:pPr>
            <w:r>
              <w:rPr>
                <w:rFonts w:ascii="仿宋" w:hAnsi="仿宋" w:eastAsia="仿宋" w:cs="Arial"/>
                <w:kern w:val="0"/>
                <w:szCs w:val="21"/>
              </w:rPr>
              <w:t>优秀（</w:t>
            </w:r>
            <w:r>
              <w:rPr>
                <w:rFonts w:hint="eastAsia" w:ascii="仿宋" w:hAnsi="仿宋" w:eastAsia="仿宋" w:cs="Arial"/>
                <w:kern w:val="0"/>
                <w:szCs w:val="21"/>
              </w:rPr>
              <w:t>5</w:t>
            </w:r>
            <w:r>
              <w:rPr>
                <w:rFonts w:ascii="仿宋" w:hAnsi="仿宋" w:eastAsia="仿宋" w:cs="Arial"/>
                <w:kern w:val="0"/>
                <w:szCs w:val="21"/>
              </w:rPr>
              <w:t>）；良好（</w:t>
            </w:r>
            <w:r>
              <w:rPr>
                <w:rFonts w:hint="eastAsia" w:ascii="仿宋" w:hAnsi="仿宋" w:eastAsia="仿宋" w:cs="Arial"/>
                <w:kern w:val="0"/>
                <w:szCs w:val="21"/>
              </w:rPr>
              <w:t>3</w:t>
            </w:r>
            <w:r>
              <w:rPr>
                <w:rFonts w:ascii="仿宋" w:hAnsi="仿宋" w:eastAsia="仿宋" w:cs="Arial"/>
                <w:kern w:val="0"/>
                <w:szCs w:val="21"/>
              </w:rPr>
              <w:t>）；合格（</w:t>
            </w:r>
            <w:r>
              <w:rPr>
                <w:rFonts w:hint="eastAsia" w:ascii="仿宋" w:hAnsi="仿宋" w:eastAsia="仿宋" w:cs="Arial"/>
                <w:kern w:val="0"/>
                <w:szCs w:val="21"/>
              </w:rPr>
              <w:t>1</w:t>
            </w:r>
            <w:r>
              <w:rPr>
                <w:rFonts w:ascii="仿宋" w:hAnsi="仿宋" w:eastAsia="仿宋" w:cs="Arial"/>
                <w:kern w:val="0"/>
                <w:szCs w:val="21"/>
              </w:rPr>
              <w:t>）；不合格（</w:t>
            </w:r>
            <w:r>
              <w:rPr>
                <w:rFonts w:hint="eastAsia" w:ascii="仿宋" w:hAnsi="仿宋" w:eastAsia="仿宋" w:cs="Arial"/>
                <w:kern w:val="0"/>
                <w:szCs w:val="21"/>
              </w:rPr>
              <w:t>0</w:t>
            </w:r>
            <w:r>
              <w:rPr>
                <w:rFonts w:ascii="仿宋" w:hAnsi="仿宋" w:eastAsia="仿宋" w:cs="Arial"/>
                <w:kern w:val="0"/>
                <w:szCs w:val="21"/>
              </w:rPr>
              <w:t>）。</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77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r>
              <w:rPr>
                <w:rFonts w:hint="eastAsia" w:ascii="宋体"/>
                <w:szCs w:val="21"/>
              </w:rPr>
              <w:t>合计</w:t>
            </w:r>
          </w:p>
        </w:tc>
        <w:tc>
          <w:tcPr>
            <w:tcW w:w="743" w:type="dxa"/>
            <w:tcBorders>
              <w:left w:val="single" w:color="000000" w:sz="4" w:space="0"/>
              <w:bottom w:val="single" w:color="auto" w:sz="4" w:space="0"/>
              <w:right w:val="single" w:color="000000" w:sz="4" w:space="0"/>
            </w:tcBorders>
            <w:vAlign w:val="center"/>
          </w:tcPr>
          <w:p>
            <w:pPr>
              <w:widowControl/>
              <w:spacing w:line="240" w:lineRule="exact"/>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_GB2312" w:hAnsi="新宋体" w:eastAsia="仿宋_GB2312" w:cs="仿宋_GB2312"/>
                <w:kern w:val="0"/>
                <w:szCs w:val="21"/>
              </w:rPr>
            </w:pP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ascii="仿宋_GB2312" w:hAnsi="新宋体" w:eastAsia="仿宋_GB2312" w:cs="仿宋_GB2312"/>
                <w:kern w:val="0"/>
                <w:szCs w:val="21"/>
              </w:rPr>
            </w:pP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rPr>
                <w:rFonts w:ascii="仿宋" w:hAnsi="仿宋" w:eastAsia="仿宋" w:cs="Arial"/>
                <w:kern w:val="0"/>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eastAsia="zh-CN"/>
              </w:rPr>
            </w:pPr>
            <w:r>
              <w:rPr>
                <w:rFonts w:hint="eastAsia"/>
                <w:szCs w:val="21"/>
              </w:rPr>
              <w:t>9</w:t>
            </w:r>
            <w:r>
              <w:rPr>
                <w:rFonts w:hint="eastAsia"/>
                <w:szCs w:val="21"/>
                <w:lang w:val="en-US" w:eastAsia="zh-CN"/>
              </w:rPr>
              <w:t>6</w:t>
            </w:r>
          </w:p>
        </w:tc>
      </w:tr>
    </w:tbl>
    <w:p>
      <w:pPr>
        <w:spacing w:line="240" w:lineRule="exact"/>
        <w:rPr>
          <w:rFonts w:ascii="仿宋" w:hAnsi="仿宋" w:eastAsia="仿宋" w:cs="仿宋"/>
          <w:sz w:val="32"/>
          <w:szCs w:val="32"/>
        </w:rPr>
      </w:pPr>
    </w:p>
    <w:p>
      <w:pPr>
        <w:spacing w:line="240" w:lineRule="exact"/>
        <w:rPr>
          <w:rFonts w:ascii="仿宋" w:hAnsi="仿宋" w:eastAsia="仿宋" w:cs="仿宋"/>
          <w:sz w:val="32"/>
          <w:szCs w:val="32"/>
        </w:rPr>
      </w:pPr>
    </w:p>
    <w:p>
      <w:pPr>
        <w:spacing w:line="240" w:lineRule="exact"/>
        <w:rPr>
          <w:rFonts w:ascii="仿宋" w:hAnsi="仿宋" w:eastAsia="仿宋" w:cs="仿宋"/>
          <w:sz w:val="32"/>
          <w:szCs w:val="32"/>
        </w:rPr>
      </w:pP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Fonts w:ascii="宋体" w:hAnsi="宋体" w:eastAsia="宋体"/>
        <w:sz w:val="28"/>
        <w:szCs w:val="28"/>
      </w:rPr>
    </w:pPr>
    <w:r>
      <w:rPr>
        <w:rStyle w:val="13"/>
        <w:rFonts w:hint="eastAsia" w:ascii="宋体" w:hAnsi="宋体" w:eastAsia="宋体"/>
        <w:sz w:val="28"/>
        <w:szCs w:val="28"/>
      </w:rPr>
      <w:t>-</w:t>
    </w:r>
    <w:r>
      <w:rPr>
        <w:rStyle w:val="13"/>
        <w:rFonts w:ascii="宋体" w:hAnsi="宋体" w:eastAsia="宋体"/>
        <w:sz w:val="28"/>
        <w:szCs w:val="28"/>
      </w:rPr>
      <w:fldChar w:fldCharType="begin"/>
    </w:r>
    <w:r>
      <w:rPr>
        <w:rStyle w:val="13"/>
        <w:rFonts w:ascii="宋体" w:hAnsi="宋体" w:eastAsia="宋体"/>
        <w:sz w:val="28"/>
        <w:szCs w:val="28"/>
      </w:rPr>
      <w:instrText xml:space="preserve">PAGE  </w:instrText>
    </w:r>
    <w:r>
      <w:rPr>
        <w:rStyle w:val="13"/>
        <w:rFonts w:ascii="宋体" w:hAnsi="宋体" w:eastAsia="宋体"/>
        <w:sz w:val="28"/>
        <w:szCs w:val="28"/>
      </w:rPr>
      <w:fldChar w:fldCharType="separate"/>
    </w:r>
    <w:r>
      <w:rPr>
        <w:rStyle w:val="13"/>
        <w:rFonts w:ascii="宋体" w:hAnsi="宋体" w:eastAsia="宋体"/>
        <w:sz w:val="28"/>
        <w:szCs w:val="28"/>
      </w:rPr>
      <w:t>1</w:t>
    </w:r>
    <w:r>
      <w:rPr>
        <w:rStyle w:val="13"/>
        <w:rFonts w:ascii="宋体" w:hAnsi="宋体" w:eastAsia="宋体"/>
        <w:sz w:val="28"/>
        <w:szCs w:val="28"/>
      </w:rPr>
      <w:fldChar w:fldCharType="end"/>
    </w:r>
    <w:r>
      <w:rPr>
        <w:rStyle w:val="13"/>
        <w:rFonts w:hint="eastAsia" w:ascii="宋体" w:hAnsi="宋体" w:eastAsia="宋体"/>
        <w:sz w:val="28"/>
        <w:szCs w:val="28"/>
      </w:rPr>
      <w:t>-</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16A649"/>
    <w:multiLevelType w:val="singleLevel"/>
    <w:tmpl w:val="D716A64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MyM2Y4YzY1MTYxMjU0OTAxYmY3MjhmZTI2OGE1ZmYifQ=="/>
  </w:docVars>
  <w:rsids>
    <w:rsidRoot w:val="00042933"/>
    <w:rsid w:val="00002F2C"/>
    <w:rsid w:val="000070A8"/>
    <w:rsid w:val="00016CA4"/>
    <w:rsid w:val="000324AE"/>
    <w:rsid w:val="00042933"/>
    <w:rsid w:val="0008033E"/>
    <w:rsid w:val="0008759D"/>
    <w:rsid w:val="00094F2B"/>
    <w:rsid w:val="000B0A83"/>
    <w:rsid w:val="000B6322"/>
    <w:rsid w:val="000C2CC1"/>
    <w:rsid w:val="000E4A5A"/>
    <w:rsid w:val="00103547"/>
    <w:rsid w:val="0017068B"/>
    <w:rsid w:val="00185A3C"/>
    <w:rsid w:val="00192D5A"/>
    <w:rsid w:val="001C59B3"/>
    <w:rsid w:val="001E0886"/>
    <w:rsid w:val="001F7E31"/>
    <w:rsid w:val="002071BC"/>
    <w:rsid w:val="00225AE6"/>
    <w:rsid w:val="00235F0F"/>
    <w:rsid w:val="0023624E"/>
    <w:rsid w:val="00255783"/>
    <w:rsid w:val="00290BA1"/>
    <w:rsid w:val="002A6AEA"/>
    <w:rsid w:val="002F2268"/>
    <w:rsid w:val="00347F94"/>
    <w:rsid w:val="003C50C2"/>
    <w:rsid w:val="0041099F"/>
    <w:rsid w:val="00436A1D"/>
    <w:rsid w:val="004379D7"/>
    <w:rsid w:val="004A68B1"/>
    <w:rsid w:val="004B64F3"/>
    <w:rsid w:val="004E3B64"/>
    <w:rsid w:val="005020C5"/>
    <w:rsid w:val="00567FE6"/>
    <w:rsid w:val="0058162A"/>
    <w:rsid w:val="00593F3D"/>
    <w:rsid w:val="005B3616"/>
    <w:rsid w:val="005E12FA"/>
    <w:rsid w:val="00606980"/>
    <w:rsid w:val="006305AA"/>
    <w:rsid w:val="00683167"/>
    <w:rsid w:val="006A5056"/>
    <w:rsid w:val="006E64C9"/>
    <w:rsid w:val="007048FF"/>
    <w:rsid w:val="00712100"/>
    <w:rsid w:val="0071700D"/>
    <w:rsid w:val="00742652"/>
    <w:rsid w:val="00772600"/>
    <w:rsid w:val="007D5D41"/>
    <w:rsid w:val="007F01F9"/>
    <w:rsid w:val="00856BA1"/>
    <w:rsid w:val="00867620"/>
    <w:rsid w:val="008709E0"/>
    <w:rsid w:val="008A6A10"/>
    <w:rsid w:val="008A6A31"/>
    <w:rsid w:val="00904AF4"/>
    <w:rsid w:val="00905542"/>
    <w:rsid w:val="00917700"/>
    <w:rsid w:val="00956F74"/>
    <w:rsid w:val="009B0B5F"/>
    <w:rsid w:val="009C04DA"/>
    <w:rsid w:val="009C4C62"/>
    <w:rsid w:val="009E3627"/>
    <w:rsid w:val="009F53E7"/>
    <w:rsid w:val="00A11BF8"/>
    <w:rsid w:val="00A14A33"/>
    <w:rsid w:val="00A6449D"/>
    <w:rsid w:val="00A768DB"/>
    <w:rsid w:val="00A804DA"/>
    <w:rsid w:val="00A9624E"/>
    <w:rsid w:val="00AA09C8"/>
    <w:rsid w:val="00AD5F30"/>
    <w:rsid w:val="00B0681D"/>
    <w:rsid w:val="00B212CA"/>
    <w:rsid w:val="00B9023F"/>
    <w:rsid w:val="00BC1FDC"/>
    <w:rsid w:val="00BD0FD8"/>
    <w:rsid w:val="00C44804"/>
    <w:rsid w:val="00C6362A"/>
    <w:rsid w:val="00C81363"/>
    <w:rsid w:val="00CB27A5"/>
    <w:rsid w:val="00CD55ED"/>
    <w:rsid w:val="00CD63C0"/>
    <w:rsid w:val="00CE62A0"/>
    <w:rsid w:val="00D21F0C"/>
    <w:rsid w:val="00D366C1"/>
    <w:rsid w:val="00D71A90"/>
    <w:rsid w:val="00D877F7"/>
    <w:rsid w:val="00DB2D43"/>
    <w:rsid w:val="00E266F1"/>
    <w:rsid w:val="00EB16A8"/>
    <w:rsid w:val="00EC7904"/>
    <w:rsid w:val="00F72E93"/>
    <w:rsid w:val="00F87A11"/>
    <w:rsid w:val="00FB7E01"/>
    <w:rsid w:val="00FE3ADF"/>
    <w:rsid w:val="00FE5F4C"/>
    <w:rsid w:val="00FF0D78"/>
    <w:rsid w:val="00FF39F6"/>
    <w:rsid w:val="05374814"/>
    <w:rsid w:val="0C8F0285"/>
    <w:rsid w:val="0F8F6BFC"/>
    <w:rsid w:val="107166F3"/>
    <w:rsid w:val="1C841DE7"/>
    <w:rsid w:val="2E2F45C6"/>
    <w:rsid w:val="30755B28"/>
    <w:rsid w:val="3791647A"/>
    <w:rsid w:val="455969D8"/>
    <w:rsid w:val="48725571"/>
    <w:rsid w:val="4BDB04ED"/>
    <w:rsid w:val="526A3656"/>
    <w:rsid w:val="53CD5365"/>
    <w:rsid w:val="5D643D56"/>
    <w:rsid w:val="635B6092"/>
    <w:rsid w:val="64283056"/>
    <w:rsid w:val="69BD0A47"/>
    <w:rsid w:val="71A911C9"/>
    <w:rsid w:val="7793669D"/>
    <w:rsid w:val="7CCC21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7"/>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unhideWhenUsed/>
    <w:qFormat/>
    <w:uiPriority w:val="99"/>
    <w:pPr>
      <w:spacing w:after="120"/>
      <w:ind w:left="420" w:leftChars="200"/>
    </w:pPr>
  </w:style>
  <w:style w:type="paragraph" w:styleId="5">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6">
    <w:name w:val="Plain Text"/>
    <w:basedOn w:val="1"/>
    <w:link w:val="16"/>
    <w:qFormat/>
    <w:uiPriority w:val="0"/>
    <w:rPr>
      <w:rFonts w:ascii="宋体" w:hAnsi="Courier New" w:eastAsia="宋体" w:cs="Courier New"/>
      <w:szCs w:val="21"/>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character" w:styleId="13">
    <w:name w:val="page number"/>
    <w:basedOn w:val="11"/>
    <w:semiHidden/>
    <w:unhideWhenUsed/>
    <w:qFormat/>
    <w:uiPriority w:val="99"/>
  </w:style>
  <w:style w:type="character" w:customStyle="1" w:styleId="14">
    <w:name w:val="页眉 Char"/>
    <w:basedOn w:val="11"/>
    <w:link w:val="8"/>
    <w:qFormat/>
    <w:uiPriority w:val="99"/>
    <w:rPr>
      <w:sz w:val="18"/>
      <w:szCs w:val="18"/>
    </w:rPr>
  </w:style>
  <w:style w:type="character" w:customStyle="1" w:styleId="15">
    <w:name w:val="页脚 Char"/>
    <w:basedOn w:val="11"/>
    <w:link w:val="7"/>
    <w:qFormat/>
    <w:uiPriority w:val="99"/>
    <w:rPr>
      <w:sz w:val="18"/>
      <w:szCs w:val="18"/>
    </w:rPr>
  </w:style>
  <w:style w:type="character" w:customStyle="1" w:styleId="16">
    <w:name w:val="纯文本 Char"/>
    <w:basedOn w:val="11"/>
    <w:link w:val="6"/>
    <w:qFormat/>
    <w:uiPriority w:val="0"/>
    <w:rPr>
      <w:rFonts w:ascii="宋体" w:hAnsi="Courier New" w:eastAsia="宋体" w:cs="Courier New"/>
      <w:szCs w:val="21"/>
    </w:rPr>
  </w:style>
  <w:style w:type="character" w:customStyle="1" w:styleId="17">
    <w:name w:val="标题 1 Char"/>
    <w:basedOn w:val="11"/>
    <w:link w:val="4"/>
    <w:qFormat/>
    <w:uiPriority w:val="9"/>
    <w:rPr>
      <w:rFonts w:ascii="宋体" w:hAnsi="宋体" w:eastAsia="宋体" w:cs="宋体"/>
      <w:b/>
      <w:kern w:val="44"/>
      <w:sz w:val="48"/>
      <w:szCs w:val="48"/>
    </w:rPr>
  </w:style>
  <w:style w:type="character" w:customStyle="1" w:styleId="18">
    <w:name w:val="font31"/>
    <w:basedOn w:val="11"/>
    <w:qFormat/>
    <w:uiPriority w:val="0"/>
    <w:rPr>
      <w:rFonts w:hint="eastAsia" w:ascii="宋体" w:hAnsi="宋体" w:eastAsia="宋体" w:cs="宋体"/>
      <w:b/>
      <w:color w:val="000000"/>
      <w:sz w:val="36"/>
      <w:szCs w:val="3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8049</Words>
  <Characters>8407</Characters>
  <Lines>73</Lines>
  <Paragraphs>20</Paragraphs>
  <TotalTime>3</TotalTime>
  <ScaleCrop>false</ScaleCrop>
  <LinksUpToDate>false</LinksUpToDate>
  <CharactersWithSpaces>8460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2022-05-16T01:11:00Z</dcterms:created>
  <dc:creator>Administrator</dc:creator>
  <cp:lastModifiedBy>不二臣</cp:lastModifiedBy>
  <cp:lastPrinted>2022-05-16T01:12:00Z</cp:lastPrinted>
  <dcterms:modified xsi:type="dcterms:W3CDTF">2025-04-08T08:54:41Z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4439C505A3C941A6BB7B6D67397D9B13</vt:lpwstr>
  </property>
</Properties>
</file>