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9" cstate="print"/>
                    <a:stretch>
                      <a:fillRect/>
                    </a:stretch>
                  </pic:blipFill>
                  <pic:spPr>
                    <a:xfrm>
                      <a:off x="0" y="0"/>
                      <a:ext cx="215900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0" cstate="print"/>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1" cstate="print"/>
                    <a:stretch>
                      <a:fillRect/>
                    </a:stretch>
                  </pic:blipFill>
                  <pic:spPr>
                    <a:xfrm>
                      <a:off x="0" y="0"/>
                      <a:ext cx="2162810" cy="1310640"/>
                    </a:xfrm>
                    <a:prstGeom prst="rect">
                      <a:avLst/>
                    </a:prstGeom>
                  </pic:spPr>
                </pic:pic>
              </a:graphicData>
            </a:graphic>
          </wp:anchor>
        </w:drawing>
      </w:r>
      <w:r>
        <w:pict>
          <v:group id="_x0000_s1033" o:spid="_x0000_s1033" o:spt="203" style="position:absolute;left:0pt;margin-left:-219.15pt;margin-top:168.4pt;height:113.95pt;width:712.85pt;z-index:251662336;mso-width-relative:page;mso-height-relative:page;" coordorigin="-3504,4387" coordsize="19200,2716203">
            <o:lock v:ext="edit"/>
            <v:rect id="矩形 19" o:spid="_x0000_s1026" o:spt="1" style="position:absolute;left:-381;top:4387;height:2457;width:1834;v-text-anchor:middle;" fillcolor="#0176AB" filled="t" stroked="f" coordsize="21600,21600">
              <v:path/>
              <v:fill on="t" focussize="0,0"/>
              <v:stroke on="f"/>
              <v:imagedata o:title=""/>
              <o:lock v:ext="edit"/>
            </v:rect>
            <v:shape id="矩形 24" o:spid="_x0000_s1035" o:spt="100" style="position:absolute;left:-3504;top:6953;height:150;width:11815;" fillcolor="#E5AA57" filled="t" stroked="f" coordsize="7501732,94593" adj="" path="m0,0l7458720,6350,7501732,94593,0,94593,0,0xe">
              <v:path o:connecttype="segments" o:connectlocs="0,0;7463453,6619;7506490,98604;0,98604;0,0" o:connectangles="0,0,0,0,0"/>
              <v:fill on="t" focussize="0,0"/>
              <v:stroke on="f" joinstyle="round"/>
              <v:imagedata o:title=""/>
              <o:lock v:ext="edit"/>
            </v:shape>
            <v:shape id="矩形 25" o:spid="_x0000_s1034" o:spt="100" style="position:absolute;left:8331;top:6953;height:150;width:7365;" fillcolor="#0176AB" filled="t" stroked="f" coordsize="4676187,94594" adj="" path="m0,0l4676187,0,4676187,94594,57510,94594,0,0xe">
              <v:path o:connecttype="segments" o:connectlocs="0,0;4679715,0;4679715,98599;57552,98599;0,0" o:connectangles="0,0,0,0,0"/>
              <v:fill on="t" focussize="0,0"/>
              <v:stroke on="f" joinstyle="round"/>
              <v:imagedata o:title=""/>
              <o:lock v:ext="edit"/>
            </v:shape>
          </v:group>
        </w:pict>
      </w:r>
      <w: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pict>
          <v:group id="_x0000_s1028" o:spid="_x0000_s1028" o:spt="203" style="position:absolute;left:0pt;margin-left:-22.1pt;margin-top:-24.65pt;height:148.45pt;width:468.85pt;z-index:251661312;mso-width-relative:page;mso-height-relative:page;" coordorigin="12098,1831" coordsize="9377,2969203">
            <o:lock v:ext="edit"/>
            <v:shape id="文本框 32" o:spid="_x0000_s1032" o:spt="202" type="#_x0000_t202" style="position:absolute;left:13325;top:1831;height:1348;width:4462;" filled="f" stroked="f" coordsize="21600,21600">
              <v:path/>
              <v:fill on="f" focussize="0,0"/>
              <v:stroke on="f" joinstyle="miter"/>
              <v:imagedata o:title=""/>
              <o:lock v:ext="edit"/>
              <v:textbox>
                <w:txbxContent>
                  <w:p>
                    <w:pPr>
                      <w:jc w:val="distribute"/>
                      <w:rPr>
                        <w:rFonts w:ascii="方正魏碑简体" w:hAnsi="Arial" w:eastAsia="方正魏碑简体" w:cs="Arial"/>
                        <w:color w:val="000000" w:themeColor="text1"/>
                        <w:sz w:val="22"/>
                      </w:rPr>
                    </w:pPr>
                    <w:r>
                      <w:rPr>
                        <w:rFonts w:hint="eastAsia" w:ascii="方正魏碑简体" w:hAnsi="Arial" w:eastAsia="方正魏碑简体" w:cs="Arial"/>
                        <w:color w:val="000000" w:themeColor="text1"/>
                        <w:spacing w:val="60"/>
                        <w:kern w:val="24"/>
                        <w:sz w:val="72"/>
                        <w:szCs w:val="72"/>
                      </w:rPr>
                      <w:t>2023年度</w:t>
                    </w:r>
                  </w:p>
                </w:txbxContent>
              </v:textbox>
            </v:shape>
            <v:group id="_x0000_s1029" o:spid="_x0000_s1029" o:spt="203" style="position:absolute;left:12098;top:3193;height:1607;width:9377;" coordorigin="6119,2843" coordsize="9377,1607">
              <o:lock v:ext="edit"/>
              <v:shape id="文本框 32" o:spid="_x0000_s1031" o:spt="202" type="#_x0000_t202" style="position:absolute;left:6119;top:2843;height:1421;width:9377;" filled="f" stroked="f" coordsize="21600,21600">
                <v:path/>
                <v:fill on="f" focussize="0,0"/>
                <v:stroke on="f" joinstyle="miter"/>
                <v:imagedata o:title=""/>
                <o:lock v:ext="edit"/>
                <v:textbox>
                  <w:txbxContent>
                    <w:p>
                      <w:pPr>
                        <w:jc w:val="left"/>
                        <w:rPr>
                          <w:rFonts w:ascii="黑体" w:hAnsi="黑体" w:eastAsia="黑体" w:cs="黑体"/>
                          <w:color w:val="000000" w:themeColor="text1"/>
                        </w:rPr>
                      </w:pPr>
                      <w:r>
                        <w:rPr>
                          <w:rFonts w:hint="eastAsia" w:ascii="黑体" w:hAnsi="黑体" w:eastAsia="黑体" w:cs="黑体"/>
                          <w:color w:val="000000" w:themeColor="text1"/>
                          <w:spacing w:val="60"/>
                          <w:kern w:val="24"/>
                          <w:sz w:val="96"/>
                          <w:szCs w:val="96"/>
                        </w:rPr>
                        <w:t>部门决算公开文本</w:t>
                      </w:r>
                    </w:p>
                  </w:txbxContent>
                </v:textbox>
              </v:shape>
              <v:line id="_x0000_s1030" o:spid="_x0000_s1030" o:spt="20" style="position:absolute;left:6226;top:4450;height:0;width:8700;" stroked="t" coordsize="21600,21600">
                <v:path arrowok="t"/>
                <v:fill focussize="0,0"/>
                <v:stroke weight="2.25pt" color="#325395" joinstyle="miter" dashstyle="1 1"/>
                <v:imagedata o:title=""/>
                <o:lock v:ext="edit"/>
              </v:line>
            </v:group>
          </v:group>
        </w:pict>
      </w:r>
      <w: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w:pict>
          <v:shape id="文本框 33" o:spid="_x0000_s1027" o:spt="202" type="#_x0000_t202" style="position:absolute;left:0pt;margin-left:-19.95pt;margin-top:126.9pt;height:44.9pt;width:432.6pt;z-index:251660288;mso-width-relative:page;mso-height-relative:page;" filled="f" stroked="f" coordsize="21600,2160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sz w:val="40"/>
                      <w:szCs w:val="40"/>
                    </w:rPr>
                  </w:pPr>
                </w:p>
              </w:txbxContent>
            </v:textbox>
          </v:shape>
        </w:pic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：135</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：沙河市水务局</w:t>
      </w:r>
    </w:p>
    <w:p>
      <w:pPr>
        <w:spacing w:line="600" w:lineRule="auto"/>
        <w:jc w:val="left"/>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p>
      <w:pP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rPr>
          <w:rFonts w:ascii="Arial" w:hAnsi="Arial" w:eastAsia="Arial" w:cs="Arial"/>
          <w:color w:val="000000"/>
          <w:sz w:val="18"/>
          <w:szCs w:val="18"/>
          <w:shd w:val="clear" w:color="auto" w:fill="FFFFFF"/>
        </w:rPr>
      </w:pP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rPr>
          <w:rFonts w:ascii="Arial" w:hAnsi="Arial" w:eastAsia="Arial" w:cs="Arial"/>
          <w:color w:val="000000"/>
          <w:sz w:val="18"/>
          <w:szCs w:val="18"/>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Arial" w:hAnsi="Arial" w:eastAsia="Arial" w:cs="Arial"/>
          <w:color w:val="000000"/>
          <w:sz w:val="18"/>
          <w:szCs w:val="18"/>
        </w:rPr>
      </w:pPr>
      <w:r>
        <w:rPr>
          <w:rFonts w:hint="eastAsia" w:ascii="黑体" w:hAnsi="宋体" w:eastAsia="黑体" w:cs="黑体"/>
          <w:color w:val="000000"/>
          <w:sz w:val="72"/>
          <w:szCs w:val="72"/>
          <w:shd w:val="clear" w:color="auto" w:fill="FFFFFF"/>
        </w:rPr>
        <w:t>第一部分  部门概况</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rPr>
          <w:rFonts w:ascii="黑体" w:hAnsi="宋体" w:eastAsia="黑体" w:cs="黑体"/>
          <w:color w:val="000000"/>
          <w:sz w:val="33"/>
          <w:szCs w:val="33"/>
          <w:shd w:val="clear" w:color="auto" w:fill="FFFFFF"/>
        </w:rPr>
      </w:pPr>
      <w:r>
        <w:rPr>
          <w:rFonts w:hint="eastAsia" w:ascii="黑体" w:hAnsi="宋体" w:eastAsia="黑体" w:cs="黑体"/>
          <w:color w:val="000000"/>
          <w:sz w:val="33"/>
          <w:szCs w:val="33"/>
          <w:shd w:val="clear" w:color="auto" w:fill="FFFFFF"/>
        </w:rPr>
        <w:br w:type="page"/>
      </w:r>
    </w:p>
    <w:p>
      <w:pPr>
        <w:pStyle w:val="10"/>
        <w:widowControl/>
        <w:shd w:val="clear" w:color="auto" w:fill="FFFFFF"/>
        <w:spacing w:beforeAutospacing="0" w:afterAutospacing="0"/>
        <w:outlineLvl w:val="1"/>
        <w:rPr>
          <w:rFonts w:ascii="Arial" w:hAnsi="Arial" w:eastAsia="Arial" w:cs="Arial"/>
          <w:color w:val="000000"/>
          <w:sz w:val="32"/>
          <w:szCs w:val="32"/>
        </w:rPr>
      </w:pPr>
      <w:r>
        <w:rPr>
          <w:rFonts w:hint="eastAsia" w:ascii="黑体" w:hAnsi="宋体" w:eastAsia="黑体" w:cs="黑体"/>
          <w:color w:val="000000"/>
          <w:sz w:val="32"/>
          <w:szCs w:val="32"/>
          <w:shd w:val="clear" w:color="auto" w:fill="FFFFFF"/>
        </w:rPr>
        <w:t>一、部门职责</w:t>
      </w:r>
    </w:p>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ind w:firstLine="749" w:firstLineChars="227"/>
        <w:rPr>
          <w:rFonts w:ascii="仿宋_gb2312" w:hAnsi="仿宋_gb2312" w:eastAsia="仿宋_gb2312" w:cs="仿宋_gb2312"/>
          <w:sz w:val="33"/>
          <w:szCs w:val="33"/>
        </w:rPr>
      </w:pPr>
      <w:r>
        <w:rPr>
          <w:rFonts w:hint="eastAsia" w:ascii="仿宋_gb2312" w:hAnsi="仿宋_gb2312" w:eastAsia="仿宋_gb2312" w:cs="仿宋_gb2312"/>
          <w:sz w:val="33"/>
          <w:szCs w:val="33"/>
        </w:rPr>
        <w:t>1、拟定全市水利工作中长期规划和年度计划，组织实施水务体制改革，推行城乡水务一体化。</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2、统一管理全市水资源。</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3、负责组织制定全市用水计划。</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4、拟定本区域的水资源保护规划。</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5、组织、指导水政检查</w:t>
      </w:r>
      <w:r>
        <w:rPr>
          <w:rFonts w:hint="eastAsia" w:ascii="仿宋_gb2312" w:hAnsi="仿宋_gb2312" w:eastAsia="仿宋_gb2312" w:cs="仿宋_gb2312"/>
          <w:sz w:val="33"/>
          <w:szCs w:val="33"/>
          <w:lang w:eastAsia="zh-CN"/>
        </w:rPr>
        <w:t>和</w:t>
      </w:r>
      <w:r>
        <w:rPr>
          <w:rFonts w:hint="eastAsia" w:ascii="仿宋_gb2312" w:hAnsi="仿宋_gb2312" w:eastAsia="仿宋_gb2312" w:cs="仿宋_gb2312"/>
          <w:sz w:val="33"/>
          <w:szCs w:val="33"/>
        </w:rPr>
        <w:t>水行政执法。</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6、拟定全市水利行业经济调节措施。</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7、组织指导全市水利设施、水域的管理和保护。</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8、指导全市农村水利工作。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9、负责全市水土保持工作。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10、负责全市水利系统水电站建设管理。</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11、负责水利方面科技教育、培训。</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12、承担市防汛抗旱指挥部和市农田水利基本建设指挥部的工作。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13、指导全市水库移民工作。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14、承办市政府交办的其他事项。</w:t>
      </w:r>
    </w:p>
    <w:p>
      <w:pPr>
        <w:pStyle w:val="10"/>
        <w:widowControl/>
        <w:shd w:val="clear" w:color="auto" w:fill="FFFFFF"/>
        <w:spacing w:beforeAutospacing="0" w:afterAutospacing="0"/>
        <w:outlineLvl w:val="1"/>
        <w:rPr>
          <w:rFonts w:ascii="Arial" w:hAnsi="Arial" w:eastAsia="Arial" w:cs="Arial"/>
          <w:color w:val="000000"/>
          <w:sz w:val="32"/>
          <w:szCs w:val="32"/>
        </w:rPr>
      </w:pPr>
      <w:r>
        <w:rPr>
          <w:rFonts w:hint="eastAsia" w:ascii="黑体" w:hAnsi="宋体" w:eastAsia="黑体" w:cs="黑体"/>
          <w:color w:val="000000"/>
          <w:sz w:val="32"/>
          <w:szCs w:val="32"/>
          <w:shd w:val="clear" w:color="auto" w:fill="FFFFFF"/>
        </w:rPr>
        <w:t>二、机构设置</w:t>
      </w:r>
    </w:p>
    <w:p>
      <w:pPr>
        <w:pStyle w:val="10"/>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从决算编报</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构成看，纳入</w:t>
      </w:r>
      <w:r>
        <w:rPr>
          <w:rFonts w:hint="eastAsia" w:ascii="仿宋_GB2312" w:hAnsi="仿宋_GB2312" w:eastAsia="仿宋_GB2312" w:cs="仿宋_GB2312"/>
          <w:sz w:val="32"/>
          <w:szCs w:val="32"/>
          <w:shd w:val="clear" w:color="auto" w:fill="FFFFFF"/>
        </w:rPr>
        <w:t>2023</w:t>
      </w:r>
      <w:r>
        <w:rPr>
          <w:rFonts w:ascii="仿宋_GB2312" w:hAnsi="仿宋_GB2312" w:eastAsia="仿宋_GB2312" w:cs="仿宋_GB2312"/>
          <w:sz w:val="32"/>
          <w:szCs w:val="32"/>
          <w:shd w:val="clear" w:color="auto" w:fill="FFFFFF"/>
        </w:rPr>
        <w:t>年度</w:t>
      </w:r>
      <w:r>
        <w:rPr>
          <w:rFonts w:hint="eastAsia" w:ascii="仿宋_GB2312" w:hAnsi="仿宋_GB2312" w:eastAsia="仿宋_GB2312" w:cs="仿宋_GB2312"/>
          <w:sz w:val="32"/>
          <w:szCs w:val="32"/>
          <w:shd w:val="clear" w:color="auto" w:fill="FFFFFF"/>
        </w:rPr>
        <w:t>本部门</w:t>
      </w:r>
      <w:r>
        <w:rPr>
          <w:rFonts w:ascii="仿宋_GB2312" w:hAnsi="仿宋_GB2312" w:eastAsia="仿宋_GB2312" w:cs="仿宋_GB2312"/>
          <w:sz w:val="32"/>
          <w:szCs w:val="32"/>
          <w:shd w:val="clear" w:color="auto" w:fill="FFFFFF"/>
        </w:rPr>
        <w:t>决算汇编范围的独立核算</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（以下简称“</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 xml:space="preserve">”）共 </w:t>
      </w:r>
      <w:r>
        <w:rPr>
          <w:rFonts w:hint="eastAsia" w:ascii="仿宋_GB2312" w:hAnsi="仿宋_GB2312" w:eastAsia="仿宋_GB2312" w:cs="仿宋_GB2312"/>
          <w:sz w:val="32"/>
          <w:szCs w:val="32"/>
          <w:shd w:val="clear" w:color="auto" w:fill="FFFFFF"/>
          <w:lang w:val="en-US" w:eastAsia="zh-CN"/>
        </w:rPr>
        <w:t>2</w:t>
      </w:r>
      <w:r>
        <w:rPr>
          <w:rFonts w:ascii="仿宋_GB2312" w:hAnsi="仿宋_GB2312" w:eastAsia="仿宋_GB2312" w:cs="仿宋_GB2312"/>
          <w:sz w:val="32"/>
          <w:szCs w:val="32"/>
          <w:shd w:val="clear" w:color="auto" w:fill="FFFFFF"/>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70"/>
        <w:gridCol w:w="2595"/>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070"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59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930"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rPr>
                <w:rFonts w:ascii="仿宋_GB2312" w:hAnsi="Calibri" w:eastAsia="仿宋_GB2312" w:cs="ArialUnicodeMS"/>
                <w:sz w:val="28"/>
                <w:szCs w:val="28"/>
              </w:rPr>
            </w:pPr>
            <w:r>
              <w:rPr>
                <w:rFonts w:hint="eastAsia"/>
                <w:sz w:val="21"/>
                <w:szCs w:val="21"/>
              </w:rPr>
              <w:t>1</w:t>
            </w:r>
          </w:p>
        </w:tc>
        <w:tc>
          <w:tcPr>
            <w:tcW w:w="3070" w:type="dxa"/>
            <w:vAlign w:val="top"/>
          </w:tcPr>
          <w:p>
            <w:pPr>
              <w:rPr>
                <w:rFonts w:ascii="仿宋_GB2312" w:hAnsi="Calibri" w:eastAsia="仿宋_GB2312" w:cs="ArialUnicodeMS"/>
                <w:sz w:val="28"/>
                <w:szCs w:val="28"/>
              </w:rPr>
            </w:pPr>
            <w:r>
              <w:rPr>
                <w:rFonts w:hint="eastAsia"/>
                <w:sz w:val="21"/>
                <w:szCs w:val="21"/>
              </w:rPr>
              <w:t>沙河市水务局（本级）</w:t>
            </w:r>
          </w:p>
        </w:tc>
        <w:tc>
          <w:tcPr>
            <w:tcW w:w="2595" w:type="dxa"/>
            <w:vAlign w:val="top"/>
          </w:tcPr>
          <w:p>
            <w:pPr>
              <w:rPr>
                <w:rFonts w:hint="eastAsia" w:cs="宋体"/>
                <w:sz w:val="21"/>
                <w:szCs w:val="21"/>
              </w:rPr>
            </w:pPr>
            <w:r>
              <w:rPr>
                <w:rFonts w:hint="eastAsia" w:cs="宋体"/>
                <w:sz w:val="21"/>
                <w:szCs w:val="21"/>
              </w:rPr>
              <w:t>财政补助事业单位</w:t>
            </w:r>
          </w:p>
        </w:tc>
        <w:tc>
          <w:tcPr>
            <w:tcW w:w="2930" w:type="dxa"/>
            <w:vAlign w:val="top"/>
          </w:tcPr>
          <w:p>
            <w:pPr>
              <w:rPr>
                <w:rFonts w:ascii="仿宋_GB2312" w:hAnsi="Calibri" w:eastAsia="仿宋_GB2312" w:cs="ArialUnicodeMS"/>
                <w:sz w:val="28"/>
                <w:szCs w:val="28"/>
              </w:rPr>
            </w:pPr>
            <w:r>
              <w:rPr>
                <w:rFonts w:hint="eastAsia"/>
                <w:sz w:val="21"/>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rPr>
                <w:rFonts w:ascii="仿宋_GB2312" w:hAnsi="Calibri" w:eastAsia="仿宋_GB2312" w:cs="ArialUnicodeMS"/>
                <w:sz w:val="28"/>
                <w:szCs w:val="28"/>
              </w:rPr>
            </w:pPr>
            <w:r>
              <w:rPr>
                <w:rFonts w:hint="eastAsia"/>
                <w:sz w:val="21"/>
                <w:szCs w:val="21"/>
              </w:rPr>
              <w:t>2</w:t>
            </w:r>
          </w:p>
        </w:tc>
        <w:tc>
          <w:tcPr>
            <w:tcW w:w="3070" w:type="dxa"/>
            <w:vAlign w:val="top"/>
          </w:tcPr>
          <w:p>
            <w:pPr>
              <w:rPr>
                <w:rFonts w:ascii="仿宋_GB2312" w:hAnsi="Calibri" w:eastAsia="仿宋_GB2312" w:cs="ArialUnicodeMS"/>
                <w:sz w:val="28"/>
                <w:szCs w:val="28"/>
              </w:rPr>
            </w:pPr>
            <w:r>
              <w:rPr>
                <w:rFonts w:hint="eastAsia"/>
                <w:sz w:val="21"/>
                <w:szCs w:val="21"/>
              </w:rPr>
              <w:t>沙河市朱庄南灌区事务中心</w:t>
            </w:r>
          </w:p>
        </w:tc>
        <w:tc>
          <w:tcPr>
            <w:tcW w:w="2595" w:type="dxa"/>
            <w:vAlign w:val="top"/>
          </w:tcPr>
          <w:p>
            <w:pPr>
              <w:rPr>
                <w:rFonts w:hint="eastAsia" w:cs="宋体"/>
                <w:sz w:val="21"/>
                <w:szCs w:val="21"/>
              </w:rPr>
            </w:pPr>
            <w:r>
              <w:rPr>
                <w:rFonts w:hint="eastAsia" w:cs="宋体"/>
                <w:sz w:val="21"/>
                <w:szCs w:val="21"/>
              </w:rPr>
              <w:t>财政补助事业单位</w:t>
            </w:r>
          </w:p>
        </w:tc>
        <w:tc>
          <w:tcPr>
            <w:tcW w:w="2930" w:type="dxa"/>
            <w:vAlign w:val="top"/>
          </w:tcPr>
          <w:p>
            <w:pPr>
              <w:rPr>
                <w:rFonts w:ascii="仿宋_GB2312" w:hAnsi="Calibri" w:eastAsia="仿宋_GB2312" w:cs="ArialUnicodeMS"/>
                <w:sz w:val="28"/>
                <w:szCs w:val="28"/>
              </w:rPr>
            </w:pPr>
            <w:r>
              <w:rPr>
                <w:rFonts w:hint="eastAsia"/>
                <w:sz w:val="21"/>
                <w:szCs w:val="21"/>
              </w:rPr>
              <w:t>财政性资金定额或定项补助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sz w:val="28"/>
                <w:szCs w:val="28"/>
              </w:rPr>
            </w:pPr>
          </w:p>
        </w:tc>
      </w:tr>
    </w:tbl>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ind w:firstLine="640" w:firstLineChars="200"/>
        <w:rPr>
          <w:rFonts w:ascii="Times New Roman" w:hAnsi="Times New Roman" w:eastAsia="黑体" w:cs="Times New Roman"/>
          <w:sz w:val="32"/>
          <w:szCs w:val="32"/>
          <w:highlight w:val="yellow"/>
        </w:rPr>
      </w:pPr>
    </w:p>
    <w:p>
      <w:pPr>
        <w:pStyle w:val="10"/>
        <w:widowControl/>
        <w:shd w:val="clear" w:color="auto" w:fill="FFFFFF"/>
        <w:spacing w:beforeAutospacing="0" w:afterAutospacing="0"/>
        <w:rPr>
          <w:rFonts w:ascii="Arial" w:hAnsi="Arial" w:eastAsia="Arial" w:cs="Arial"/>
          <w:color w:val="000000"/>
          <w:sz w:val="18"/>
          <w:szCs w:val="18"/>
          <w:shd w:val="clear" w:color="auto" w:fill="FFFFFF"/>
        </w:rPr>
      </w:pPr>
    </w:p>
    <w:p>
      <w:pPr>
        <w:widowControl/>
        <w:shd w:val="clear" w:color="auto" w:fill="FFFFFF"/>
        <w:jc w:val="left"/>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outlineLvl w:val="0"/>
        <w:rPr>
          <w:rFonts w:ascii="Arial" w:hAnsi="Arial" w:eastAsia="Arial" w:cs="Arial"/>
        </w:rPr>
      </w:pPr>
      <w:r>
        <w:rPr>
          <w:rFonts w:hint="eastAsia" w:ascii="黑体" w:hAnsi="宋体" w:eastAsia="黑体" w:cs="黑体"/>
          <w:color w:val="000000"/>
          <w:sz w:val="72"/>
          <w:szCs w:val="72"/>
          <w:shd w:val="clear" w:color="auto" w:fill="FFFFFF"/>
        </w:rPr>
        <w:t>第二部分</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hint="eastAsia" w:ascii="黑体" w:hAnsi="宋体" w:eastAsia="黑体" w:cs="黑体"/>
          <w:color w:val="000000"/>
          <w:sz w:val="72"/>
          <w:szCs w:val="72"/>
          <w:shd w:val="clear" w:color="auto" w:fill="FFFFFF"/>
        </w:rPr>
        <w:t>2023年度部门决算报表</w:t>
      </w:r>
    </w:p>
    <w:p>
      <w:pPr>
        <w:pStyle w:val="10"/>
        <w:widowControl/>
        <w:spacing w:beforeAutospacing="0" w:afterAutospacing="0"/>
        <w:jc w:val="center"/>
        <w:rPr>
          <w:rFonts w:ascii="仿宋_GB2312" w:hAnsi="仿宋_GB2312" w:eastAsia="仿宋_GB2312" w:cs="仿宋_GB2312"/>
          <w:color w:val="FF0000"/>
          <w:sz w:val="33"/>
          <w:szCs w:val="33"/>
          <w:shd w:val="clear" w:color="auto" w:fill="FFFFFF"/>
        </w:rPr>
      </w:pPr>
    </w:p>
    <w:p>
      <w:pPr>
        <w:pStyle w:val="10"/>
        <w:widowControl/>
        <w:spacing w:beforeAutospacing="0" w:afterAutospacing="0"/>
        <w:jc w:val="center"/>
        <w:rPr>
          <w:rFonts w:ascii="仿宋_GB2312" w:hAnsi="仿宋_GB2312" w:eastAsia="仿宋_GB2312" w:cs="仿宋_GB2312"/>
          <w:color w:val="FF0000"/>
          <w:sz w:val="33"/>
          <w:szCs w:val="33"/>
          <w:shd w:val="clear" w:color="auto" w:fill="FFFFFF"/>
        </w:rPr>
        <w:sectPr>
          <w:headerReference r:id="rId7" w:type="default"/>
          <w:pgSz w:w="11906" w:h="16838"/>
          <w:pgMar w:top="1531" w:right="1984" w:bottom="1531" w:left="2098" w:header="851" w:footer="992" w:gutter="0"/>
          <w:cols w:space="720" w:num="1"/>
          <w:docGrid w:type="lines" w:linePitch="312" w:charSpace="0"/>
        </w:sectPr>
      </w:pP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编制部门：沙河市水务局</w:t>
            </w:r>
          </w:p>
        </w:tc>
        <w:tc>
          <w:tcPr>
            <w:tcW w:w="1262" w:type="pct"/>
            <w:gridSpan w:val="2"/>
            <w:tcBorders>
              <w:top w:val="nil"/>
              <w:left w:val="nil"/>
              <w:bottom w:val="single" w:color="auto" w:sz="4" w:space="0"/>
              <w:right w:val="nil"/>
            </w:tcBorders>
            <w:noWrap/>
            <w:vAlign w:val="bottom"/>
          </w:tcPr>
          <w:p>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3,099.72</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910.29</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21.91</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2,986.50</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41.54</w:t>
            </w: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注：1.本表反映部门本年度的总收支和年末结转结余情况。2.本套报表金额转换时可能存在尾数误差。</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widowControl/>
        <w:jc w:val="center"/>
        <w:textAlignment w:val="bottom"/>
        <w:rPr>
          <w:rFonts w:ascii="黑体" w:hAnsi="黑体" w:eastAsia="黑体"/>
          <w:bCs/>
          <w:sz w:val="32"/>
          <w:szCs w:val="32"/>
        </w:rPr>
      </w:pPr>
    </w:p>
    <w:tbl>
      <w:tblPr>
        <w:tblStyle w:val="11"/>
        <w:tblW w:w="9230" w:type="dxa"/>
        <w:jc w:val="center"/>
        <w:tblLayout w:type="fixed"/>
        <w:tblCellMar>
          <w:top w:w="0" w:type="dxa"/>
          <w:left w:w="108" w:type="dxa"/>
          <w:bottom w:w="0" w:type="dxa"/>
          <w:right w:w="108" w:type="dxa"/>
        </w:tblCellMar>
      </w:tblPr>
      <w:tblGrid>
        <w:gridCol w:w="1040"/>
        <w:gridCol w:w="1160"/>
        <w:gridCol w:w="1113"/>
        <w:gridCol w:w="1155"/>
        <w:gridCol w:w="843"/>
        <w:gridCol w:w="964"/>
        <w:gridCol w:w="367"/>
        <w:gridCol w:w="597"/>
        <w:gridCol w:w="1027"/>
        <w:gridCol w:w="964"/>
      </w:tblGrid>
      <w:tr>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3313" w:type="dxa"/>
            <w:gridSpan w:val="3"/>
            <w:tcBorders>
              <w:top w:val="nil"/>
              <w:left w:val="nil"/>
              <w:bottom w:val="single" w:color="auto" w:sz="4" w:space="0"/>
              <w:right w:val="nil"/>
            </w:tcBorders>
            <w:noWrap/>
            <w:vAlign w:val="bottom"/>
          </w:tcPr>
          <w:p>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编制部门：沙河市水务局                                                                                                         </w:t>
            </w:r>
          </w:p>
        </w:tc>
        <w:tc>
          <w:tcPr>
            <w:tcW w:w="3329" w:type="dxa"/>
            <w:gridSpan w:val="4"/>
            <w:tcBorders>
              <w:top w:val="nil"/>
              <w:left w:val="nil"/>
              <w:bottom w:val="single" w:color="auto" w:sz="4" w:space="0"/>
              <w:right w:val="nil"/>
            </w:tcBorders>
            <w:noWrap/>
            <w:vAlign w:val="bottom"/>
          </w:tcPr>
          <w:p>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113"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155"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843"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60"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13"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843"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tblPrEx>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3,960.24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3,960.24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910.29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910.29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49.77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49.77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49.77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49.77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大中型水库移民后期扶持基金支出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移民补助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基础设施建设和经济发展</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小型水库移民扶助基金安排的支出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移民补助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基础设施建设和经济发展</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其他行政事业单位医疗支出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21.91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2,986.50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2,986.50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2,950.67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2,950.67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516.40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516.40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水利工程建设</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135.14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135.14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2130306</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水利工程运行与维护</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水利执法监督</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44.84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44.84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2130310</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水土保持</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水资源节约管理与保护</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180.00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180.00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2130314</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防汛</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抗旱</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38.99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38.99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2130321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大中型水库移民后期扶持专项支出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250.67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250.67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2130335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农村人畜饮水</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660.00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660.00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其他水利支出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482.08</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482.08</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35.83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35.83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2139999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35.83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35.83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41.54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pPr>
        <w:rPr>
          <w:rFonts w:ascii="黑体" w:hAnsi="黑体" w:eastAsia="黑体"/>
          <w:bCs/>
          <w:sz w:val="32"/>
          <w:szCs w:val="32"/>
        </w:rPr>
      </w:pPr>
      <w:r>
        <w:rPr>
          <w:rFonts w:hint="eastAsia" w:ascii="仿宋_GB2312" w:hAnsi="宋体" w:eastAsia="仿宋_GB2312"/>
          <w:b/>
          <w:sz w:val="32"/>
          <w:szCs w:val="32"/>
        </w:rPr>
        <w:br w:type="page"/>
      </w:r>
    </w:p>
    <w:p>
      <w:pPr>
        <w:widowControl/>
        <w:jc w:val="center"/>
        <w:textAlignment w:val="bottom"/>
        <w:rPr>
          <w:rFonts w:ascii="宋体" w:hAnsi="宋体" w:eastAsia="宋体"/>
          <w:spacing w:val="-2"/>
          <w:sz w:val="20"/>
        </w:rPr>
      </w:pP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编制部门：沙河市水务局 </w:t>
            </w:r>
            <w:r>
              <w:rPr>
                <w:rFonts w:hint="eastAsia" w:asciiTheme="minorEastAsia" w:hAnsiTheme="minorEastAsia" w:cstheme="minorEastAsia"/>
                <w:color w:val="000000"/>
                <w:sz w:val="20"/>
                <w:szCs w:val="20"/>
              </w:rPr>
              <w:t xml:space="preserve">                                                                                                         </w:t>
            </w:r>
          </w:p>
        </w:tc>
        <w:tc>
          <w:tcPr>
            <w:tcW w:w="1403" w:type="pct"/>
            <w:gridSpan w:val="3"/>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629.61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3,330.63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910.29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大中型水库移民后期扶持基金支出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623.37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623.37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333.04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333.04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290.33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290.33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小型水库移民扶助基金安排的支出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237.15</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237.15</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137.93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137.93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99.23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99.23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其他行政事业单位医疗支出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2,986.50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2,470.10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2,950.67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2,434.27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水利工程建设</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135.14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135.14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2130306</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水利工程运行与维护</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水利执法监督</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2130310</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水土保持</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水资源节约管理与保护</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2130314</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防汛</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抗旱</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2130321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大中型水库移民后期扶持专项支出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2130335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农村人畜饮水</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其他水利支出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编制部门：沙河市水务局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3,099.72</w:t>
            </w: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910.29</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49.77</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21.91</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21.91</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2,986.50</w:t>
            </w: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2,986.50</w:t>
            </w: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41.54</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41.54</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3,099.72</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895" w:type="pct"/>
            <w:gridSpan w:val="2"/>
            <w:tcBorders>
              <w:top w:val="nil"/>
              <w:left w:val="nil"/>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3,960.24</w:t>
            </w: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cs="Times New Roman"/>
                <w:sz w:val="20"/>
                <w:szCs w:val="20"/>
              </w:rPr>
            </w:pPr>
          </w:p>
          <w:p>
            <w:pPr>
              <w:jc w:val="right"/>
              <w:rPr>
                <w:rFonts w:ascii="Times New Roman" w:hAnsi="Times New Roman" w:cs="Times New Roman"/>
                <w:sz w:val="20"/>
                <w:szCs w:val="20"/>
              </w:rPr>
            </w:pPr>
            <w:r>
              <w:rPr>
                <w:rFonts w:ascii="Times New Roman" w:hAnsi="Times New Roman" w:cs="Times New Roman"/>
                <w:sz w:val="20"/>
                <w:szCs w:val="20"/>
              </w:rPr>
              <w:t>3,099.72</w:t>
            </w:r>
          </w:p>
          <w:p>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8"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jc w:val="center"/>
        <w:rPr>
          <w:rFonts w:ascii="宋体" w:hAnsi="宋体" w:eastAsia="宋体"/>
          <w:spacing w:val="-2"/>
          <w:sz w:val="20"/>
        </w:rPr>
      </w:pPr>
    </w:p>
    <w:tbl>
      <w:tblPr>
        <w:tblStyle w:val="11"/>
        <w:tblW w:w="5455" w:type="pct"/>
        <w:tblInd w:w="-657" w:type="dxa"/>
        <w:tblLayout w:type="autofit"/>
        <w:tblCellMar>
          <w:top w:w="0" w:type="dxa"/>
          <w:left w:w="108" w:type="dxa"/>
          <w:bottom w:w="0" w:type="dxa"/>
          <w:right w:w="108" w:type="dxa"/>
        </w:tblCellMar>
      </w:tblPr>
      <w:tblGrid>
        <w:gridCol w:w="914"/>
        <w:gridCol w:w="3416"/>
        <w:gridCol w:w="387"/>
        <w:gridCol w:w="924"/>
        <w:gridCol w:w="1037"/>
        <w:gridCol w:w="383"/>
        <w:gridCol w:w="1711"/>
      </w:tblGrid>
      <w:tr>
        <w:tblPrEx>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编制部门：沙河市水务局</w:t>
            </w:r>
          </w:p>
        </w:tc>
        <w:tc>
          <w:tcPr>
            <w:tcW w:w="1551" w:type="pct"/>
            <w:gridSpan w:val="2"/>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591" w:type="pct"/>
            <w:gridSpan w:val="2"/>
            <w:tcBorders>
              <w:top w:val="nil"/>
              <w:left w:val="nil"/>
              <w:bottom w:val="single" w:color="auto" w:sz="4" w:space="0"/>
              <w:right w:val="nil"/>
            </w:tcBorders>
            <w:noWrap/>
            <w:vAlign w:val="bottom"/>
          </w:tcPr>
          <w:p>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52" w:type="pct"/>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tblPrEx>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3,099.72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629.61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2,470.10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49.77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其他行政事业单位医疗支出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21.91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2,986.50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2,470.10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2,950.67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2,434.27</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516.40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水利工程建设</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135.14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135.14</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2130306</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水利工程运行与维护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水利执法监督</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水土保持</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水资源节约管理与保护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防汛</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抗旱</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大中型水库移民后期扶持专项支出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2130335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农村人畜饮水</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其他水利支出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35.83</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41.54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编制部门：沙河市水务局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2023</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577.94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25.67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188.49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3.00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38.14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97.86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66.89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49.77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2.60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6.71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21.91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1.64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9.38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41.54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63.96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26.00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5.13</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16.88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0.66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0.89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10.08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3.99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ascii="Times New Roman" w:hAnsi="Times New Roman" w:cs="Times New Roman"/>
                <w:sz w:val="18"/>
                <w:szCs w:val="18"/>
              </w:rPr>
              <w:t>603.94</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ascii="Times New Roman" w:hAnsi="Times New Roman" w:cs="Times New Roman"/>
                <w:sz w:val="18"/>
                <w:szCs w:val="18"/>
              </w:rPr>
              <w:t>25.67</w:t>
            </w:r>
          </w:p>
        </w:tc>
      </w:tr>
      <w:tr>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jc w:val="center"/>
        <w:rPr>
          <w:rFonts w:ascii="仿宋_GB2312" w:hAnsi="宋体" w:eastAsia="仿宋_GB2312"/>
          <w:b/>
          <w:sz w:val="32"/>
          <w:szCs w:val="32"/>
        </w:rPr>
      </w:pP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编制部门：沙河市水务局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大中型水库移民后期扶持基金支出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2082201</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小型水库移民扶助基金安排的支出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2082301</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000000"/>
                <w:sz w:val="20"/>
                <w:szCs w:val="20"/>
              </w:rPr>
              <w:br w:type="page"/>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widowControl/>
        <w:jc w:val="center"/>
        <w:textAlignment w:val="bottom"/>
        <w:rPr>
          <w:rFonts w:ascii="宋体" w:hAnsi="宋体" w:eastAsia="宋体"/>
          <w:spacing w:val="-2"/>
          <w:sz w:val="20"/>
        </w:rPr>
      </w:pPr>
    </w:p>
    <w:tbl>
      <w:tblPr>
        <w:tblStyle w:val="11"/>
        <w:tblW w:w="5000" w:type="pct"/>
        <w:tblInd w:w="0" w:type="dxa"/>
        <w:tblLayout w:type="fixed"/>
        <w:tblCellMar>
          <w:top w:w="0" w:type="dxa"/>
          <w:left w:w="108" w:type="dxa"/>
          <w:bottom w:w="0" w:type="dxa"/>
          <w:right w:w="108" w:type="dxa"/>
        </w:tblCellMar>
      </w:tblPr>
      <w:tblGrid>
        <w:gridCol w:w="2017"/>
        <w:gridCol w:w="730"/>
        <w:gridCol w:w="1298"/>
        <w:gridCol w:w="1336"/>
        <w:gridCol w:w="45"/>
        <w:gridCol w:w="1286"/>
        <w:gridCol w:w="5"/>
        <w:gridCol w:w="1323"/>
      </w:tblGrid>
      <w:tr>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编制部门：沙河市水务局</w:t>
            </w:r>
          </w:p>
        </w:tc>
        <w:tc>
          <w:tcPr>
            <w:tcW w:w="1666"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624"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484" w:type="pct"/>
            <w:gridSpan w:val="5"/>
            <w:vMerge w:val="restart"/>
            <w:tcBorders>
              <w:top w:val="single" w:color="auto" w:sz="4" w:space="0"/>
              <w:left w:val="single" w:color="auto"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2484" w:type="pct"/>
            <w:gridSpan w:val="5"/>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831" w:type="pct"/>
            <w:vMerge w:val="restart"/>
            <w:tcBorders>
              <w:top w:val="nil"/>
              <w:left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831" w:type="pct"/>
            <w:gridSpan w:val="3"/>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821" w:type="pct"/>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260" w:type="pct"/>
            <w:gridSpan w:val="2"/>
            <w:vMerge w:val="continue"/>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p>
        </w:tc>
        <w:tc>
          <w:tcPr>
            <w:tcW w:w="831" w:type="pct"/>
            <w:vMerge w:val="continue"/>
            <w:tcBorders>
              <w:left w:val="single" w:color="auto"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31" w:type="pct"/>
            <w:gridSpan w:val="3"/>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21"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828"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82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82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tblPrEx>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pPr>
              <w:widowControl/>
              <w:jc w:val="left"/>
              <w:textAlignment w:val="center"/>
              <w:rPr>
                <w:rFonts w:hint="eastAsia"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注：本表反映部门本年度国有资本经营预算财政拨款支出情况。（如无相关数据，则需注明空表列示）本部门本年度无相关收入（或支出、收支及结转结余等）情况，按要求空表列示。</w:t>
            </w:r>
          </w:p>
          <w:p>
            <w:pPr>
              <w:widowControl/>
              <w:jc w:val="left"/>
              <w:textAlignment w:val="center"/>
              <w:rPr>
                <w:rFonts w:ascii="宋体" w:hAnsi="宋体" w:eastAsia="宋体"/>
                <w:color w:val="000000"/>
                <w:sz w:val="20"/>
                <w:szCs w:val="20"/>
              </w:rPr>
            </w:pPr>
          </w:p>
        </w:tc>
      </w:tr>
    </w:tbl>
    <w:p>
      <w:pPr>
        <w:widowControl/>
        <w:jc w:val="left"/>
        <w:textAlignment w:val="center"/>
        <w:rPr>
          <w:rFonts w:hint="eastAsia"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编制部门：沙河市水务局</w:t>
            </w:r>
          </w:p>
        </w:tc>
        <w:tc>
          <w:tcPr>
            <w:tcW w:w="933"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2023</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r>
      <w:tr>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000000"/>
                <w:sz w:val="20"/>
                <w:szCs w:val="20"/>
              </w:rPr>
              <w:t>本部门本年度无相关收入（或支出、收支及结转结余等）情况，按要求空表列示。</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rPr>
          <w:rFonts w:ascii="仿宋_GB2312" w:hAnsi="宋体" w:eastAsia="仿宋_GB2312"/>
          <w:b/>
          <w:sz w:val="32"/>
          <w:szCs w:val="32"/>
        </w:rPr>
        <w:sectPr>
          <w:pgSz w:w="11906" w:h="16838"/>
          <w:pgMar w:top="1531" w:right="1984" w:bottom="1531" w:left="2098" w:header="851" w:footer="992" w:gutter="0"/>
          <w:cols w:space="720" w:num="1"/>
          <w:docGrid w:type="lines" w:linePitch="312" w:charSpace="0"/>
        </w:sectPr>
      </w:pPr>
    </w:p>
    <w:p>
      <w:pPr>
        <w:pStyle w:val="10"/>
        <w:widowControl/>
        <w:spacing w:beforeAutospacing="0" w:afterAutospacing="0"/>
        <w:jc w:val="both"/>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outlineLvl w:val="0"/>
        <w:rPr>
          <w:rFonts w:ascii="Arial" w:hAnsi="Arial" w:eastAsia="Arial" w:cs="Arial"/>
        </w:rPr>
      </w:pPr>
      <w:r>
        <w:rPr>
          <w:rFonts w:hint="eastAsia" w:ascii="黑体" w:hAnsi="宋体" w:eastAsia="黑体" w:cs="黑体"/>
          <w:color w:val="000000"/>
          <w:sz w:val="72"/>
          <w:szCs w:val="72"/>
          <w:shd w:val="clear" w:color="auto" w:fill="FFFFFF"/>
        </w:rPr>
        <w:t>第三部分</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spacing w:val="-20"/>
        </w:rPr>
      </w:pPr>
      <w:r>
        <w:rPr>
          <w:rFonts w:hint="eastAsia" w:ascii="黑体" w:hAnsi="宋体" w:eastAsia="黑体" w:cs="黑体"/>
          <w:color w:val="000000"/>
          <w:spacing w:val="-20"/>
          <w:sz w:val="72"/>
          <w:szCs w:val="72"/>
          <w:shd w:val="clear" w:color="auto" w:fill="FFFFFF"/>
        </w:rPr>
        <w:t>2023年度部门决算情况说明</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color w:val="000000"/>
          <w:sz w:val="18"/>
          <w:szCs w:val="18"/>
          <w:shd w:val="clear" w:color="auto" w:fill="FFFFFF"/>
        </w:rPr>
      </w:pPr>
      <w:r>
        <w:rPr>
          <w:rFonts w:ascii="Arial" w:hAnsi="Arial" w:eastAsia="Arial" w:cs="Arial"/>
          <w:color w:val="000000"/>
          <w:sz w:val="18"/>
          <w:szCs w:val="18"/>
          <w:shd w:val="clear" w:color="auto" w:fill="FFFFFF"/>
        </w:rPr>
        <w:t> </w:t>
      </w:r>
    </w:p>
    <w:p>
      <w:pPr>
        <w:rPr>
          <w:rFonts w:ascii="Arial" w:hAnsi="Arial" w:eastAsia="Arial" w:cs="Arial"/>
          <w:color w:val="000000"/>
          <w:sz w:val="18"/>
          <w:szCs w:val="18"/>
          <w:shd w:val="clear" w:color="auto" w:fill="FFFFFF"/>
        </w:rPr>
      </w:pPr>
      <w:r>
        <w:rPr>
          <w:rFonts w:ascii="Arial" w:hAnsi="Arial" w:eastAsia="Arial" w:cs="Arial"/>
          <w:color w:val="000000"/>
          <w:sz w:val="18"/>
          <w:szCs w:val="18"/>
          <w:shd w:val="clear" w:color="auto" w:fill="FFFFFF"/>
        </w:rPr>
        <w:br w:type="page"/>
      </w:r>
    </w:p>
    <w:p>
      <w:pPr>
        <w:pStyle w:val="10"/>
        <w:widowControl/>
        <w:spacing w:beforeAutospacing="0" w:afterAutospacing="0"/>
        <w:jc w:val="center"/>
        <w:rPr>
          <w:rFonts w:ascii="Arial" w:hAnsi="Arial" w:eastAsia="Arial" w:cs="Arial"/>
          <w:color w:val="000000"/>
          <w:sz w:val="18"/>
          <w:szCs w:val="18"/>
          <w:shd w:val="clear" w:color="auto" w:fill="FFFFFF"/>
        </w:rPr>
      </w:pP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both"/>
        <w:outlineLvl w:val="1"/>
        <w:rPr>
          <w:rFonts w:ascii="黑体" w:hAnsi="Calibri" w:eastAsia="黑体"/>
          <w:kern w:val="2"/>
          <w:sz w:val="32"/>
          <w:szCs w:val="32"/>
        </w:rPr>
      </w:pPr>
      <w:r>
        <w:rPr>
          <w:rFonts w:hint="eastAsia" w:ascii="黑体" w:hAnsi="Calibri" w:eastAsia="黑体"/>
          <w:kern w:val="2"/>
          <w:sz w:val="32"/>
          <w:szCs w:val="32"/>
        </w:rPr>
        <w:t>一、收入支出决算总体情况说明</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本部门2023年度收、支总计（含结转和结余）</w:t>
      </w:r>
      <w:r>
        <w:rPr>
          <w:rFonts w:ascii="Times New Roman" w:hAnsi="Times New Roman" w:eastAsia="仿宋_GB2312" w:cs="Times New Roman"/>
          <w:kern w:val="2"/>
          <w:sz w:val="32"/>
          <w:szCs w:val="32"/>
          <w:lang w:val="zh-CN"/>
        </w:rPr>
        <w:t>3,960.24</w:t>
      </w:r>
      <w:r>
        <w:rPr>
          <w:rFonts w:ascii="Times New Roman" w:hAnsi="Times New Roman" w:eastAsia="仿宋_GB2312" w:cs="Times New Roman"/>
          <w:kern w:val="2"/>
          <w:sz w:val="32"/>
          <w:szCs w:val="32"/>
        </w:rPr>
        <w:t>万元。与2022年度决算相比，收支各减少</w:t>
      </w:r>
      <w:r>
        <w:rPr>
          <w:rFonts w:hint="eastAsia" w:ascii="Times New Roman" w:hAnsi="Times New Roman" w:eastAsia="仿宋_GB2312" w:cs="Times New Roman"/>
          <w:kern w:val="2"/>
          <w:sz w:val="32"/>
          <w:szCs w:val="32"/>
        </w:rPr>
        <w:t>34</w:t>
      </w:r>
      <w:r>
        <w:rPr>
          <w:rFonts w:hint="eastAsia" w:ascii="Times New Roman" w:hAnsi="Times New Roman" w:eastAsia="仿宋_GB2312" w:cs="Times New Roman"/>
          <w:kern w:val="2"/>
          <w:sz w:val="32"/>
          <w:szCs w:val="32"/>
          <w:lang w:val="en-US" w:eastAsia="zh-CN"/>
        </w:rPr>
        <w:t>07.4</w:t>
      </w:r>
      <w:r>
        <w:rPr>
          <w:rFonts w:ascii="Times New Roman" w:hAnsi="Times New Roman" w:eastAsia="仿宋_GB2312" w:cs="Times New Roman"/>
          <w:kern w:val="2"/>
          <w:sz w:val="32"/>
          <w:szCs w:val="32"/>
        </w:rPr>
        <w:t>万元，下降</w:t>
      </w:r>
      <w:r>
        <w:rPr>
          <w:rFonts w:hint="eastAsia"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val="en-US" w:eastAsia="zh-CN"/>
        </w:rPr>
        <w:t>6.29</w:t>
      </w:r>
      <w:r>
        <w:rPr>
          <w:rFonts w:ascii="Times New Roman" w:hAnsi="Times New Roman" w:eastAsia="仿宋_GB2312" w:cs="Times New Roman"/>
          <w:kern w:val="2"/>
          <w:sz w:val="32"/>
          <w:szCs w:val="32"/>
        </w:rPr>
        <w:t>%，主要原因是</w:t>
      </w:r>
      <w:r>
        <w:rPr>
          <w:rFonts w:hint="eastAsia" w:ascii="仿宋_GB2312" w:hAnsi="仿宋_GB2312" w:cs="仿宋_GB2312"/>
          <w:sz w:val="33"/>
          <w:szCs w:val="33"/>
        </w:rPr>
        <w:t>工</w:t>
      </w:r>
      <w:r>
        <w:rPr>
          <w:rFonts w:hint="eastAsia" w:ascii="Times New Roman" w:hAnsi="Times New Roman" w:eastAsia="仿宋_GB2312" w:cs="Times New Roman"/>
          <w:kern w:val="2"/>
          <w:sz w:val="32"/>
          <w:szCs w:val="32"/>
        </w:rPr>
        <w:t>程项目类收入和支出减少</w:t>
      </w:r>
      <w:r>
        <w:rPr>
          <w:rFonts w:ascii="Times New Roman" w:hAnsi="Times New Roman" w:eastAsia="仿宋_GB2312" w:cs="Times New Roman"/>
          <w:kern w:val="2"/>
          <w:sz w:val="32"/>
          <w:szCs w:val="32"/>
        </w:rPr>
        <w:t>。</w:t>
      </w:r>
    </w:p>
    <w:p>
      <w:pPr>
        <w:pStyle w:val="10"/>
        <w:widowControl/>
        <w:spacing w:beforeAutospacing="0" w:afterAutospacing="0"/>
        <w:jc w:val="center"/>
        <w:rPr>
          <w:rFonts w:ascii="Times New Roman" w:hAnsi="Times New Roman" w:eastAsia="Arial"/>
        </w:rPr>
      </w:pPr>
      <w:r>
        <w:rPr>
          <w:rFonts w:ascii="Times New Roman" w:hAnsi="Times New Roman" w:eastAsia="Arial"/>
          <w:color w:val="000000"/>
          <w:sz w:val="18"/>
          <w:szCs w:val="18"/>
          <w:shd w:val="clear" w:color="auto" w:fill="FFFFFF"/>
        </w:rPr>
        <w:t> </w:t>
      </w: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二、收入决算情况说明</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本部门2023年度本年收入合计</w:t>
      </w:r>
      <w:r>
        <w:rPr>
          <w:rFonts w:ascii="Times New Roman" w:hAnsi="Times New Roman" w:eastAsia="仿宋_GB2312" w:cs="Times New Roman"/>
          <w:sz w:val="30"/>
          <w:szCs w:val="30"/>
        </w:rPr>
        <w:t>3,960.24</w:t>
      </w:r>
      <w:r>
        <w:rPr>
          <w:rFonts w:ascii="Times New Roman" w:hAnsi="Times New Roman" w:eastAsia="仿宋_GB2312" w:cs="Times New Roman"/>
          <w:kern w:val="2"/>
          <w:sz w:val="32"/>
          <w:szCs w:val="32"/>
          <w:lang w:val="zh-CN"/>
        </w:rPr>
        <w:t>万元，其中：财政拨款收入3,960.24万元，占100%；上级补助收入0万元，占0%；事业收入0万元，占0%；经营收入0万元，占0%；附属单位上缴收入0万元，占0%；其他收入0万元，占0%</w:t>
      </w:r>
      <w:r>
        <w:rPr>
          <w:rFonts w:hint="eastAsia" w:ascii="Times New Roman" w:hAnsi="Times New Roman" w:eastAsia="仿宋_GB2312" w:cs="Times New Roman"/>
          <w:kern w:val="2"/>
          <w:sz w:val="32"/>
          <w:szCs w:val="32"/>
          <w:lang w:val="zh-CN"/>
        </w:rPr>
        <w:t>。</w:t>
      </w: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三、支出决算情况说明</w:t>
      </w:r>
    </w:p>
    <w:p>
      <w:pPr>
        <w:autoSpaceDE w:val="0"/>
        <w:autoSpaceDN w:val="0"/>
        <w:adjustRightInd w:val="0"/>
        <w:spacing w:line="580" w:lineRule="exact"/>
        <w:ind w:firstLine="6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本部门2023年度本年支出合计3,960.24万元，其中：基本支出629.61万元，占15.9%；项目支出3,330.63万元，占84.1%；上缴上级支出0万元，占0%；经营支出0万元，占0%；对附属单位补助支出0万元，占0%</w:t>
      </w:r>
      <w:r>
        <w:rPr>
          <w:rFonts w:hint="eastAsia" w:ascii="Times New Roman" w:hAnsi="Times New Roman" w:eastAsia="仿宋_GB2312" w:cs="Times New Roman"/>
          <w:kern w:val="2"/>
          <w:sz w:val="32"/>
          <w:szCs w:val="32"/>
          <w:lang w:val="zh-CN"/>
        </w:rPr>
        <w:t>。</w:t>
      </w:r>
    </w:p>
    <w:p>
      <w:pPr>
        <w:pStyle w:val="10"/>
        <w:widowControl/>
        <w:spacing w:beforeAutospacing="0" w:afterAutospacing="0"/>
        <w:jc w:val="both"/>
        <w:outlineLvl w:val="1"/>
        <w:rPr>
          <w:rFonts w:ascii="Times New Roman" w:hAnsi="Times New Roman" w:eastAsia="Arial"/>
        </w:rPr>
      </w:pPr>
      <w:r>
        <w:rPr>
          <w:rFonts w:ascii="Times New Roman" w:hAnsi="Times New Roman" w:eastAsia="黑体"/>
          <w:kern w:val="2"/>
          <w:sz w:val="32"/>
          <w:szCs w:val="32"/>
        </w:rPr>
        <w:t>四、财政拨款收入支出决算总体情况说明</w:t>
      </w:r>
    </w:p>
    <w:p>
      <w:pPr>
        <w:pStyle w:val="10"/>
        <w:widowControl/>
        <w:spacing w:beforeAutospacing="0" w:afterAutospacing="0"/>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（一）财政拨款收支与2022年度决算对比情况</w:t>
      </w:r>
    </w:p>
    <w:p>
      <w:pPr>
        <w:pStyle w:val="10"/>
        <w:widowControl/>
        <w:spacing w:beforeAutospacing="0" w:afterAutospacing="0"/>
        <w:ind w:firstLine="640" w:firstLineChars="200"/>
        <w:rPr>
          <w:rFonts w:ascii="Times New Roman" w:hAnsi="Times New Roman" w:eastAsia="仿宋_GB2312"/>
          <w:sz w:val="30"/>
          <w:szCs w:val="30"/>
        </w:rPr>
      </w:pPr>
      <w:r>
        <w:rPr>
          <w:rFonts w:ascii="Times New Roman" w:hAnsi="Times New Roman" w:eastAsia="仿宋_GB2312"/>
          <w:kern w:val="2"/>
          <w:sz w:val="32"/>
          <w:szCs w:val="32"/>
          <w:lang w:val="zh-CN"/>
        </w:rPr>
        <w:t>本部门202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年度财政拨款本年收入3,960.24</w:t>
      </w:r>
      <w:r>
        <w:rPr>
          <w:rFonts w:ascii="Times New Roman" w:hAnsi="Times New Roman" w:eastAsia="仿宋_GB2312"/>
          <w:kern w:val="2"/>
          <w:sz w:val="32"/>
          <w:szCs w:val="32"/>
        </w:rPr>
        <w:t>万</w:t>
      </w:r>
      <w:r>
        <w:rPr>
          <w:rFonts w:ascii="Times New Roman" w:hAnsi="Times New Roman" w:eastAsia="仿宋_GB2312"/>
          <w:kern w:val="2"/>
          <w:sz w:val="32"/>
          <w:szCs w:val="32"/>
          <w:lang w:val="zh-CN"/>
        </w:rPr>
        <w:t>元,比上年减少</w:t>
      </w:r>
      <w:r>
        <w:rPr>
          <w:rFonts w:hint="eastAsia" w:ascii="Times New Roman" w:hAnsi="Times New Roman" w:eastAsia="仿宋_GB2312"/>
          <w:kern w:val="2"/>
          <w:sz w:val="32"/>
          <w:szCs w:val="32"/>
          <w:lang w:val="en-US" w:eastAsia="zh-CN"/>
        </w:rPr>
        <w:t>3407.4</w:t>
      </w:r>
      <w:r>
        <w:rPr>
          <w:rFonts w:ascii="Times New Roman" w:hAnsi="Times New Roman" w:eastAsia="仿宋_GB2312"/>
          <w:kern w:val="2"/>
          <w:sz w:val="32"/>
          <w:szCs w:val="32"/>
          <w:lang w:val="zh-CN"/>
        </w:rPr>
        <w:t>万元，降低</w:t>
      </w:r>
      <w:r>
        <w:rPr>
          <w:rFonts w:hint="eastAsia" w:ascii="Times New Roman" w:hAnsi="Times New Roman" w:eastAsia="仿宋_GB2312"/>
          <w:kern w:val="2"/>
          <w:sz w:val="32"/>
          <w:szCs w:val="32"/>
          <w:lang w:val="en-US" w:eastAsia="zh-CN"/>
        </w:rPr>
        <w:t>46.29</w:t>
      </w:r>
      <w:r>
        <w:rPr>
          <w:rFonts w:ascii="Times New Roman" w:hAnsi="Times New Roman" w:eastAsia="仿宋_GB2312"/>
          <w:kern w:val="2"/>
          <w:sz w:val="32"/>
          <w:szCs w:val="32"/>
          <w:lang w:val="zh-CN"/>
        </w:rPr>
        <w:t>%，主要是</w:t>
      </w:r>
      <w:r>
        <w:rPr>
          <w:rFonts w:hint="eastAsia" w:ascii="仿宋_GB2312" w:hAnsi="仿宋_GB2312" w:cs="仿宋_GB2312"/>
          <w:sz w:val="33"/>
          <w:szCs w:val="33"/>
        </w:rPr>
        <w:t>工程项目类收入减少</w:t>
      </w:r>
      <w:r>
        <w:rPr>
          <w:rFonts w:ascii="Times New Roman" w:hAnsi="Times New Roman" w:eastAsia="仿宋_GB2312"/>
          <w:kern w:val="2"/>
          <w:sz w:val="32"/>
          <w:szCs w:val="32"/>
          <w:lang w:val="zh-CN"/>
        </w:rPr>
        <w:t xml:space="preserve">；本年支出 </w:t>
      </w:r>
      <w:r>
        <w:rPr>
          <w:rFonts w:hint="eastAsia" w:ascii="Times New Roman" w:hAnsi="Times New Roman" w:eastAsia="仿宋_GB2312"/>
          <w:kern w:val="2"/>
          <w:sz w:val="32"/>
          <w:szCs w:val="32"/>
          <w:lang w:val="en-US" w:eastAsia="zh-CN"/>
        </w:rPr>
        <w:t>3960.24</w:t>
      </w:r>
      <w:r>
        <w:rPr>
          <w:rFonts w:ascii="Times New Roman" w:hAnsi="Times New Roman" w:eastAsia="仿宋_GB2312"/>
          <w:kern w:val="2"/>
          <w:sz w:val="32"/>
          <w:szCs w:val="32"/>
          <w:lang w:val="zh-CN"/>
        </w:rPr>
        <w:t>万元，比上年减少</w:t>
      </w:r>
      <w:r>
        <w:rPr>
          <w:rFonts w:hint="eastAsia" w:ascii="Times New Roman" w:hAnsi="Times New Roman" w:eastAsia="仿宋_GB2312"/>
          <w:kern w:val="2"/>
          <w:sz w:val="32"/>
          <w:szCs w:val="32"/>
          <w:lang w:val="en-US" w:eastAsia="zh-CN"/>
        </w:rPr>
        <w:t>3407.4</w:t>
      </w:r>
      <w:r>
        <w:rPr>
          <w:rFonts w:ascii="Times New Roman" w:hAnsi="Times New Roman" w:eastAsia="仿宋_GB2312"/>
          <w:kern w:val="2"/>
          <w:sz w:val="32"/>
          <w:szCs w:val="32"/>
          <w:lang w:val="zh-CN"/>
        </w:rPr>
        <w:t>万元，降低</w:t>
      </w:r>
      <w:r>
        <w:rPr>
          <w:rFonts w:hint="eastAsia" w:ascii="Times New Roman" w:hAnsi="Times New Roman" w:eastAsia="仿宋_GB2312"/>
          <w:kern w:val="2"/>
          <w:sz w:val="32"/>
          <w:szCs w:val="32"/>
          <w:lang w:val="en-US" w:eastAsia="zh-CN"/>
        </w:rPr>
        <w:t>46.29</w:t>
      </w:r>
      <w:r>
        <w:rPr>
          <w:rFonts w:ascii="Times New Roman" w:hAnsi="Times New Roman" w:eastAsia="仿宋_GB2312"/>
          <w:kern w:val="2"/>
          <w:sz w:val="32"/>
          <w:szCs w:val="32"/>
          <w:lang w:val="zh-CN"/>
        </w:rPr>
        <w:t>%，主要是</w:t>
      </w:r>
      <w:r>
        <w:rPr>
          <w:rFonts w:hint="eastAsia" w:ascii="Times New Roman" w:hAnsi="Times New Roman" w:eastAsia="仿宋_GB2312"/>
          <w:kern w:val="2"/>
          <w:sz w:val="32"/>
          <w:szCs w:val="32"/>
          <w:lang w:val="zh-CN"/>
        </w:rPr>
        <w:t>工程项目类</w:t>
      </w:r>
      <w:r>
        <w:rPr>
          <w:rFonts w:hint="eastAsia" w:ascii="Times New Roman" w:hAnsi="Times New Roman" w:eastAsia="仿宋_GB2312"/>
          <w:kern w:val="2"/>
          <w:sz w:val="32"/>
          <w:szCs w:val="32"/>
          <w:lang w:val="zh-CN" w:eastAsia="zh-CN"/>
        </w:rPr>
        <w:t>支出</w:t>
      </w:r>
      <w:r>
        <w:rPr>
          <w:rFonts w:hint="eastAsia" w:ascii="Times New Roman" w:hAnsi="Times New Roman" w:eastAsia="仿宋_GB2312"/>
          <w:kern w:val="2"/>
          <w:sz w:val="32"/>
          <w:szCs w:val="32"/>
          <w:lang w:val="zh-CN"/>
        </w:rPr>
        <w:t>减少</w:t>
      </w:r>
      <w:r>
        <w:rPr>
          <w:rFonts w:ascii="Times New Roman" w:hAnsi="Times New Roman" w:eastAsia="仿宋_GB2312"/>
          <w:kern w:val="2"/>
          <w:sz w:val="32"/>
          <w:szCs w:val="32"/>
          <w:lang w:val="zh-CN"/>
        </w:rPr>
        <w:t>。具体情况如下：</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1. 一般公共预算财政拨款本年收入3,099.72万元,比上年减少</w:t>
      </w:r>
      <w:r>
        <w:rPr>
          <w:rFonts w:hint="eastAsia" w:ascii="Times New Roman" w:hAnsi="Times New Roman" w:eastAsia="仿宋_GB2312" w:cs="Times New Roman"/>
          <w:kern w:val="2"/>
          <w:sz w:val="32"/>
          <w:szCs w:val="32"/>
          <w:lang w:val="en-US" w:eastAsia="zh-CN"/>
        </w:rPr>
        <w:t>792.36</w:t>
      </w:r>
      <w:r>
        <w:rPr>
          <w:rFonts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eastAsia="zh-CN" w:bidi="ar-SA"/>
        </w:rPr>
        <w:t>工程项目类收入减少</w:t>
      </w:r>
      <w:r>
        <w:rPr>
          <w:rFonts w:ascii="Times New Roman" w:hAnsi="Times New Roman" w:eastAsia="仿宋_GB2312" w:cs="Times New Roman"/>
          <w:kern w:val="2"/>
          <w:sz w:val="32"/>
          <w:szCs w:val="32"/>
          <w:lang w:val="zh-CN" w:eastAsia="zh-CN" w:bidi="ar-SA"/>
        </w:rPr>
        <w:t>；</w:t>
      </w:r>
      <w:r>
        <w:rPr>
          <w:rFonts w:ascii="Times New Roman" w:hAnsi="Times New Roman" w:eastAsia="仿宋_GB2312" w:cs="Times New Roman"/>
          <w:kern w:val="2"/>
          <w:sz w:val="32"/>
          <w:szCs w:val="32"/>
          <w:lang w:val="zh-CN"/>
        </w:rPr>
        <w:t>本年支出 3,099.72</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792.36</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20.36</w:t>
      </w:r>
      <w:r>
        <w:rPr>
          <w:rFonts w:ascii="Times New Roman" w:hAnsi="Times New Roman" w:eastAsia="仿宋_GB2312" w:cs="Times New Roman"/>
          <w:kern w:val="2"/>
          <w:sz w:val="32"/>
          <w:szCs w:val="32"/>
          <w:lang w:val="zh-CN"/>
        </w:rPr>
        <w:t>%，主要是</w:t>
      </w:r>
      <w:r>
        <w:rPr>
          <w:rFonts w:hint="eastAsia" w:ascii="仿宋_GB2312" w:hAnsi="仿宋_GB2312" w:cs="仿宋_GB2312"/>
          <w:sz w:val="33"/>
          <w:szCs w:val="33"/>
        </w:rPr>
        <w:t>工程项目类</w:t>
      </w:r>
      <w:r>
        <w:rPr>
          <w:rFonts w:hint="eastAsia" w:ascii="仿宋_GB2312" w:hAnsi="仿宋_GB2312" w:cs="仿宋_GB2312"/>
          <w:sz w:val="33"/>
          <w:szCs w:val="33"/>
          <w:lang w:eastAsia="zh-CN"/>
        </w:rPr>
        <w:t>支出</w:t>
      </w:r>
      <w:r>
        <w:rPr>
          <w:rFonts w:hint="eastAsia" w:ascii="仿宋_GB2312" w:hAnsi="仿宋_GB2312" w:cs="仿宋_GB2312"/>
          <w:sz w:val="33"/>
          <w:szCs w:val="33"/>
        </w:rPr>
        <w:t>减少</w:t>
      </w:r>
      <w:r>
        <w:rPr>
          <w:rFonts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zh-CN"/>
        </w:rPr>
        <w:t>2. 政府性基金预算财政拨款本年收入860.52</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2615.03</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75.24</w:t>
      </w:r>
      <w:r>
        <w:rPr>
          <w:rFonts w:ascii="Times New Roman" w:hAnsi="Times New Roman" w:eastAsia="仿宋_GB2312" w:cs="Times New Roman"/>
          <w:kern w:val="2"/>
          <w:sz w:val="32"/>
          <w:szCs w:val="32"/>
          <w:lang w:val="zh-CN"/>
        </w:rPr>
        <w:t>%，主要是</w:t>
      </w:r>
      <w:r>
        <w:rPr>
          <w:rFonts w:hint="eastAsia" w:ascii="仿宋_GB2312" w:hAnsi="仿宋_GB2312" w:cs="仿宋_GB2312"/>
          <w:sz w:val="33"/>
          <w:szCs w:val="33"/>
        </w:rPr>
        <w:t>工程项目类收入减少</w:t>
      </w:r>
      <w:r>
        <w:rPr>
          <w:rFonts w:ascii="Times New Roman" w:hAnsi="Times New Roman" w:eastAsia="仿宋_GB2312" w:cs="Times New Roman"/>
          <w:kern w:val="2"/>
          <w:sz w:val="32"/>
          <w:szCs w:val="32"/>
          <w:lang w:val="zh-CN"/>
        </w:rPr>
        <w:t>；本年支出 860.52</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2615.03</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75.24</w:t>
      </w:r>
      <w:r>
        <w:rPr>
          <w:rFonts w:ascii="Times New Roman" w:hAnsi="Times New Roman" w:eastAsia="仿宋_GB2312" w:cs="Times New Roman"/>
          <w:kern w:val="2"/>
          <w:sz w:val="32"/>
          <w:szCs w:val="32"/>
          <w:lang w:val="zh-CN"/>
        </w:rPr>
        <w:t>%，主要是</w:t>
      </w:r>
      <w:r>
        <w:rPr>
          <w:rFonts w:hint="eastAsia" w:ascii="仿宋_GB2312" w:hAnsi="仿宋_GB2312" w:cs="仿宋_GB2312"/>
          <w:sz w:val="33"/>
          <w:szCs w:val="33"/>
        </w:rPr>
        <w:t>工程项目类</w:t>
      </w:r>
      <w:r>
        <w:rPr>
          <w:rFonts w:hint="eastAsia" w:ascii="仿宋_GB2312" w:hAnsi="仿宋_GB2312" w:cs="仿宋_GB2312"/>
          <w:sz w:val="33"/>
          <w:szCs w:val="33"/>
          <w:lang w:eastAsia="zh-CN"/>
        </w:rPr>
        <w:t>支出</w:t>
      </w:r>
      <w:r>
        <w:rPr>
          <w:rFonts w:hint="eastAsia" w:ascii="仿宋_GB2312" w:hAnsi="仿宋_GB2312" w:cs="仿宋_GB2312"/>
          <w:sz w:val="33"/>
          <w:szCs w:val="33"/>
        </w:rPr>
        <w:t>减少</w:t>
      </w:r>
      <w:r>
        <w:rPr>
          <w:rFonts w:ascii="Times New Roman" w:hAnsi="Times New Roman" w:eastAsia="仿宋_GB2312" w:cs="Times New Roman"/>
          <w:kern w:val="2"/>
          <w:sz w:val="32"/>
          <w:szCs w:val="32"/>
          <w:lang w:val="zh-CN"/>
        </w:rPr>
        <w:t>。</w:t>
      </w:r>
    </w:p>
    <w:p>
      <w:pPr>
        <w:snapToGrid w:val="0"/>
        <w:spacing w:line="580" w:lineRule="exact"/>
        <w:rPr>
          <w:rFonts w:ascii="Times New Roman" w:hAnsi="Times New Roman" w:eastAsia="楷体_GB2312" w:cs="Times New Roman"/>
          <w:b/>
          <w:bCs/>
          <w:kern w:val="2"/>
          <w:sz w:val="32"/>
          <w:szCs w:val="32"/>
        </w:rPr>
      </w:pPr>
    </w:p>
    <w:p>
      <w:pPr>
        <w:snapToGrid w:val="0"/>
        <w:spacing w:line="580" w:lineRule="exact"/>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（二）财政拨款收支与年初预算数对比情况</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本部门202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年度财政拨款本年收入3,960.24万元，完成年初预算的381.99%，比年初预算增加</w:t>
      </w:r>
      <w:r>
        <w:rPr>
          <w:rFonts w:hint="eastAsia" w:ascii="Times New Roman" w:hAnsi="Times New Roman" w:eastAsia="仿宋_GB2312" w:cs="Times New Roman"/>
          <w:kern w:val="2"/>
          <w:sz w:val="32"/>
          <w:szCs w:val="32"/>
          <w:lang w:val="en-US" w:eastAsia="zh-CN"/>
        </w:rPr>
        <w:t>2923.5</w:t>
      </w:r>
      <w:r>
        <w:rPr>
          <w:rFonts w:ascii="Times New Roman" w:hAnsi="Times New Roman" w:eastAsia="仿宋_GB2312" w:cs="Times New Roman"/>
          <w:kern w:val="2"/>
          <w:sz w:val="32"/>
          <w:szCs w:val="32"/>
          <w:lang w:val="zh-CN"/>
        </w:rPr>
        <w:t>万元，决算数大于预算数主要原因是</w:t>
      </w:r>
      <w:r>
        <w:rPr>
          <w:rFonts w:hint="eastAsia" w:ascii="仿宋_gb2312" w:hAnsi="仿宋_gb2312" w:cs="仿宋_gb2312"/>
          <w:sz w:val="33"/>
          <w:szCs w:val="33"/>
        </w:rPr>
        <w:t>上级工程项目类投入增加</w:t>
      </w:r>
      <w:r>
        <w:rPr>
          <w:rFonts w:ascii="Times New Roman" w:hAnsi="Times New Roman" w:eastAsia="仿宋_GB2312" w:cs="Times New Roman"/>
          <w:kern w:val="2"/>
          <w:sz w:val="32"/>
          <w:szCs w:val="32"/>
          <w:lang w:val="zh-CN"/>
        </w:rPr>
        <w:t>；本年支出3,960.24万元，完成年初预算的381.99%，比年初预算增加</w:t>
      </w:r>
      <w:r>
        <w:rPr>
          <w:rFonts w:hint="eastAsia" w:ascii="Times New Roman" w:hAnsi="Times New Roman" w:eastAsia="仿宋_GB2312" w:cs="Times New Roman"/>
          <w:kern w:val="2"/>
          <w:sz w:val="32"/>
          <w:szCs w:val="32"/>
          <w:lang w:val="en-US" w:eastAsia="zh-CN"/>
        </w:rPr>
        <w:t>2923.5</w:t>
      </w:r>
      <w:r>
        <w:rPr>
          <w:rFonts w:ascii="Times New Roman" w:hAnsi="Times New Roman" w:eastAsia="仿宋_GB2312" w:cs="Times New Roman"/>
          <w:kern w:val="2"/>
          <w:sz w:val="32"/>
          <w:szCs w:val="32"/>
          <w:lang w:val="zh-CN"/>
        </w:rPr>
        <w:t xml:space="preserve">万元，决算数大于预算数主要原因是 </w:t>
      </w:r>
      <w:r>
        <w:rPr>
          <w:rFonts w:hint="eastAsia" w:ascii="仿宋_gb2312" w:hAnsi="仿宋_gb2312" w:cs="仿宋_gb2312"/>
          <w:sz w:val="33"/>
          <w:szCs w:val="33"/>
        </w:rPr>
        <w:t>上级工程项目类</w:t>
      </w:r>
      <w:r>
        <w:rPr>
          <w:rFonts w:hint="eastAsia" w:ascii="仿宋_gb2312" w:hAnsi="仿宋_gb2312" w:cs="仿宋_gb2312"/>
          <w:sz w:val="33"/>
          <w:szCs w:val="33"/>
          <w:lang w:eastAsia="zh-CN"/>
        </w:rPr>
        <w:t>支出</w:t>
      </w:r>
      <w:r>
        <w:rPr>
          <w:rFonts w:hint="eastAsia" w:ascii="仿宋_gb2312" w:hAnsi="仿宋_gb2312" w:cs="仿宋_gb2312"/>
          <w:sz w:val="33"/>
          <w:szCs w:val="33"/>
        </w:rPr>
        <w:t>增加</w:t>
      </w:r>
      <w:r>
        <w:rPr>
          <w:rFonts w:ascii="Times New Roman" w:hAnsi="Times New Roman" w:eastAsia="仿宋_GB2312" w:cs="Times New Roman"/>
          <w:kern w:val="2"/>
          <w:sz w:val="32"/>
          <w:szCs w:val="32"/>
          <w:lang w:val="zh-CN"/>
        </w:rPr>
        <w:t>。具体情况如下：</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rPr>
        <w:t>1.</w:t>
      </w:r>
      <w:r>
        <w:rPr>
          <w:rFonts w:ascii="Times New Roman" w:hAnsi="Times New Roman" w:eastAsia="仿宋_GB2312" w:cs="Times New Roman"/>
          <w:kern w:val="2"/>
          <w:sz w:val="32"/>
          <w:szCs w:val="32"/>
          <w:lang w:val="zh-CN"/>
        </w:rPr>
        <w:t>一般公共预算财政拨款</w:t>
      </w:r>
      <w:r>
        <w:rPr>
          <w:rFonts w:ascii="Times New Roman" w:hAnsi="Times New Roman" w:eastAsia="仿宋_GB2312" w:cs="Times New Roman"/>
          <w:kern w:val="2"/>
          <w:sz w:val="32"/>
          <w:szCs w:val="32"/>
        </w:rPr>
        <w:t>本年</w:t>
      </w:r>
      <w:r>
        <w:rPr>
          <w:rFonts w:ascii="Times New Roman" w:hAnsi="Times New Roman" w:eastAsia="仿宋_GB2312" w:cs="Times New Roman"/>
          <w:kern w:val="2"/>
          <w:sz w:val="32"/>
          <w:szCs w:val="32"/>
          <w:lang w:val="zh-CN"/>
        </w:rPr>
        <w:t>收入3,099.72万元，完成年初预算的 298.99%，比年初预算增加</w:t>
      </w:r>
      <w:r>
        <w:rPr>
          <w:rFonts w:hint="eastAsia" w:ascii="Times New Roman" w:hAnsi="Times New Roman" w:eastAsia="仿宋_GB2312" w:cs="Times New Roman"/>
          <w:kern w:val="2"/>
          <w:sz w:val="32"/>
          <w:szCs w:val="32"/>
          <w:lang w:val="en-US" w:eastAsia="zh-CN"/>
        </w:rPr>
        <w:t>2062.98</w:t>
      </w:r>
      <w:r>
        <w:rPr>
          <w:rFonts w:ascii="Times New Roman" w:hAnsi="Times New Roman" w:eastAsia="仿宋_GB2312" w:cs="Times New Roman"/>
          <w:kern w:val="2"/>
          <w:sz w:val="32"/>
          <w:szCs w:val="32"/>
          <w:lang w:val="zh-CN"/>
        </w:rPr>
        <w:t>万元，主要原因是</w:t>
      </w:r>
      <w:r>
        <w:rPr>
          <w:rFonts w:hint="eastAsia" w:ascii="仿宋_gb2312" w:hAnsi="仿宋_gb2312" w:cs="仿宋_gb2312"/>
          <w:sz w:val="33"/>
          <w:szCs w:val="33"/>
        </w:rPr>
        <w:t>上级工程项目类投入增加</w:t>
      </w:r>
      <w:r>
        <w:rPr>
          <w:rFonts w:ascii="Times New Roman" w:hAnsi="Times New Roman" w:eastAsia="仿宋_GB2312" w:cs="Times New Roman"/>
          <w:kern w:val="2"/>
          <w:sz w:val="32"/>
          <w:szCs w:val="32"/>
          <w:lang w:val="zh-CN"/>
        </w:rPr>
        <w:t>；本年支出3,099.72万元，完成年初预算的298.99%，比年初预算增加</w:t>
      </w:r>
      <w:r>
        <w:rPr>
          <w:rFonts w:hint="eastAsia" w:ascii="Times New Roman" w:hAnsi="Times New Roman" w:eastAsia="仿宋_GB2312" w:cs="Times New Roman"/>
          <w:kern w:val="2"/>
          <w:sz w:val="32"/>
          <w:szCs w:val="32"/>
          <w:lang w:val="en-US" w:eastAsia="zh-CN"/>
        </w:rPr>
        <w:t>2062.98</w:t>
      </w:r>
      <w:r>
        <w:rPr>
          <w:rFonts w:ascii="Times New Roman" w:hAnsi="Times New Roman" w:eastAsia="仿宋_GB2312" w:cs="Times New Roman"/>
          <w:kern w:val="2"/>
          <w:sz w:val="32"/>
          <w:szCs w:val="32"/>
          <w:lang w:val="zh-CN"/>
        </w:rPr>
        <w:t>万元，主要原因是</w:t>
      </w:r>
      <w:r>
        <w:rPr>
          <w:rFonts w:hint="eastAsia" w:ascii="仿宋_gb2312" w:hAnsi="仿宋_gb2312" w:cs="仿宋_gb2312"/>
          <w:sz w:val="33"/>
          <w:szCs w:val="33"/>
        </w:rPr>
        <w:t>上级工程项目类</w:t>
      </w:r>
      <w:r>
        <w:rPr>
          <w:rFonts w:hint="eastAsia" w:ascii="仿宋_gb2312" w:hAnsi="仿宋_gb2312" w:cs="仿宋_gb2312"/>
          <w:sz w:val="33"/>
          <w:szCs w:val="33"/>
          <w:lang w:eastAsia="zh-CN"/>
        </w:rPr>
        <w:t>支出</w:t>
      </w:r>
      <w:r>
        <w:rPr>
          <w:rFonts w:hint="eastAsia" w:ascii="仿宋_gb2312" w:hAnsi="仿宋_gb2312" w:cs="仿宋_gb2312"/>
          <w:sz w:val="33"/>
          <w:szCs w:val="33"/>
        </w:rPr>
        <w:t>增加</w:t>
      </w:r>
      <w:r>
        <w:rPr>
          <w:rFonts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2. 政府性基金预算财政拨款本年收入860.52万元，完成年初预算的0%，比年初预算增加</w:t>
      </w:r>
      <w:r>
        <w:rPr>
          <w:rFonts w:hint="eastAsia" w:ascii="Times New Roman" w:hAnsi="Times New Roman" w:eastAsia="仿宋_GB2312" w:cs="Times New Roman"/>
          <w:kern w:val="2"/>
          <w:sz w:val="32"/>
          <w:szCs w:val="32"/>
          <w:lang w:val="en-US" w:eastAsia="zh-CN"/>
        </w:rPr>
        <w:t>860.52</w:t>
      </w:r>
      <w:r>
        <w:rPr>
          <w:rFonts w:ascii="Times New Roman" w:hAnsi="Times New Roman" w:eastAsia="仿宋_GB2312" w:cs="Times New Roman"/>
          <w:kern w:val="2"/>
          <w:sz w:val="32"/>
          <w:szCs w:val="32"/>
          <w:lang w:val="zh-CN"/>
        </w:rPr>
        <w:t>万元，主要原因是</w:t>
      </w:r>
      <w:r>
        <w:rPr>
          <w:rFonts w:hint="eastAsia" w:ascii="仿宋_gb2312" w:hAnsi="仿宋_gb2312" w:cs="仿宋_gb2312"/>
          <w:sz w:val="33"/>
          <w:szCs w:val="33"/>
        </w:rPr>
        <w:t>上级投入工程项目类收入增加</w:t>
      </w:r>
      <w:r>
        <w:rPr>
          <w:rFonts w:ascii="Times New Roman" w:hAnsi="Times New Roman" w:eastAsia="仿宋_GB2312" w:cs="Times New Roman"/>
          <w:kern w:val="2"/>
          <w:sz w:val="32"/>
          <w:szCs w:val="32"/>
          <w:lang w:val="zh-CN"/>
        </w:rPr>
        <w:t>；本年支出860.52万元，完成年初预算的0%，比年初预算增加</w:t>
      </w:r>
      <w:r>
        <w:rPr>
          <w:rFonts w:hint="eastAsia" w:ascii="Times New Roman" w:hAnsi="Times New Roman" w:eastAsia="仿宋_GB2312" w:cs="Times New Roman"/>
          <w:kern w:val="2"/>
          <w:sz w:val="32"/>
          <w:szCs w:val="32"/>
          <w:lang w:val="en-US" w:eastAsia="zh-CN"/>
        </w:rPr>
        <w:t>860.52</w:t>
      </w:r>
      <w:r>
        <w:rPr>
          <w:rFonts w:ascii="Times New Roman" w:hAnsi="Times New Roman" w:eastAsia="仿宋_GB2312" w:cs="Times New Roman"/>
          <w:kern w:val="2"/>
          <w:sz w:val="32"/>
          <w:szCs w:val="32"/>
          <w:lang w:val="zh-CN"/>
        </w:rPr>
        <w:t>万元，主要原因是</w:t>
      </w:r>
      <w:r>
        <w:rPr>
          <w:rFonts w:hint="eastAsia" w:ascii="仿宋_gb2312" w:hAnsi="仿宋_gb2312" w:cs="仿宋_gb2312"/>
          <w:sz w:val="33"/>
          <w:szCs w:val="33"/>
        </w:rPr>
        <w:t>上级投入工程项目类</w:t>
      </w:r>
      <w:r>
        <w:rPr>
          <w:rFonts w:hint="eastAsia" w:ascii="仿宋_gb2312" w:hAnsi="仿宋_gb2312" w:cs="仿宋_gb2312"/>
          <w:sz w:val="33"/>
          <w:szCs w:val="33"/>
          <w:lang w:eastAsia="zh-CN"/>
        </w:rPr>
        <w:t>支出</w:t>
      </w:r>
      <w:r>
        <w:rPr>
          <w:rFonts w:hint="eastAsia" w:ascii="仿宋_gb2312" w:hAnsi="仿宋_gb2312" w:cs="仿宋_gb2312"/>
          <w:sz w:val="33"/>
          <w:szCs w:val="33"/>
        </w:rPr>
        <w:t>增加</w:t>
      </w:r>
      <w:r>
        <w:rPr>
          <w:rFonts w:ascii="Times New Roman" w:hAnsi="Times New Roman" w:eastAsia="仿宋_GB2312" w:cs="Times New Roman"/>
          <w:kern w:val="2"/>
          <w:sz w:val="32"/>
          <w:szCs w:val="32"/>
          <w:lang w:val="zh-CN"/>
        </w:rPr>
        <w:t>。</w:t>
      </w:r>
    </w:p>
    <w:p>
      <w:pPr>
        <w:autoSpaceDE w:val="0"/>
        <w:autoSpaceDN w:val="0"/>
        <w:adjustRightInd w:val="0"/>
        <w:spacing w:line="580" w:lineRule="exact"/>
        <w:ind w:firstLine="660" w:firstLineChars="200"/>
        <w:jc w:val="left"/>
        <w:rPr>
          <w:rFonts w:ascii="Times New Roman" w:hAnsi="Times New Roman" w:eastAsia="仿宋_GB2312" w:cs="Times New Roman"/>
          <w:color w:val="000000"/>
          <w:sz w:val="33"/>
          <w:szCs w:val="33"/>
          <w:shd w:val="clear" w:color="auto" w:fill="FFFFFF"/>
        </w:rPr>
      </w:pPr>
    </w:p>
    <w:p>
      <w:pPr>
        <w:pStyle w:val="10"/>
        <w:widowControl/>
        <w:spacing w:beforeAutospacing="0" w:afterAutospacing="0"/>
        <w:rPr>
          <w:rFonts w:ascii="Times New Roman" w:hAnsi="Times New Roman" w:eastAsia="Arial"/>
        </w:rPr>
      </w:pPr>
    </w:p>
    <w:p>
      <w:pPr>
        <w:pStyle w:val="10"/>
        <w:widowControl/>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（三）财政拨款支出决算结构情况</w:t>
      </w:r>
    </w:p>
    <w:p>
      <w:pPr>
        <w:adjustRightInd w:val="0"/>
        <w:snapToGrid w:val="0"/>
        <w:spacing w:line="580" w:lineRule="exact"/>
        <w:ind w:firstLine="660" w:firstLineChars="200"/>
        <w:jc w:val="left"/>
        <w:rPr>
          <w:rFonts w:ascii="Times New Roman" w:hAnsi="Times New Roman" w:eastAsia="仿宋_GB2312" w:cs="Times New Roman"/>
          <w:sz w:val="32"/>
          <w:szCs w:val="32"/>
          <w:highlight w:val="yellow"/>
        </w:rPr>
      </w:pPr>
      <w:r>
        <w:rPr>
          <w:rFonts w:ascii="Times New Roman" w:hAnsi="Times New Roman" w:eastAsia="仿宋_GB2312" w:cs="Times New Roman"/>
          <w:color w:val="000000"/>
          <w:sz w:val="33"/>
          <w:szCs w:val="33"/>
          <w:shd w:val="clear" w:color="auto" w:fill="FFFFFF"/>
        </w:rPr>
        <w:t> </w:t>
      </w:r>
      <w:r>
        <w:rPr>
          <w:rFonts w:ascii="Times New Roman" w:hAnsi="Times New Roman" w:eastAsia="仿宋_GB2312" w:cs="Times New Roman"/>
          <w:kern w:val="2"/>
          <w:sz w:val="32"/>
          <w:szCs w:val="32"/>
          <w:lang w:val="zh-CN"/>
        </w:rPr>
        <w:t> 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年度财政拨款支出3,960.24万元，主要用于以下方面：</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一般公共服务（类）支出0万元，占0%；社会保障和就业 （类）支出910.29万元，占22.99%；卫生健康（类）支出21.91万元，占0.55%；农林水（类）支出2,986.5万元，占75.41%；住房保障（类）支出41.54万元，占1.05%</w:t>
      </w:r>
      <w:r>
        <w:rPr>
          <w:rFonts w:hint="eastAsia" w:ascii="Times New Roman" w:hAnsi="Times New Roman" w:eastAsia="仿宋_GB2312"/>
          <w:kern w:val="2"/>
          <w:sz w:val="32"/>
          <w:szCs w:val="32"/>
          <w:lang w:val="zh-CN"/>
        </w:rPr>
        <w:t>。</w:t>
      </w:r>
    </w:p>
    <w:p>
      <w:pPr>
        <w:pStyle w:val="10"/>
        <w:widowControl/>
        <w:numPr>
          <w:ilvl w:val="0"/>
          <w:numId w:val="2"/>
        </w:numPr>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一般公共预算基本支出决算情况说明</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年度财政拨款基本支出629.61万元，其中：</w:t>
      </w:r>
    </w:p>
    <w:p>
      <w:pPr>
        <w:pStyle w:val="10"/>
        <w:widowControl/>
        <w:spacing w:beforeAutospacing="0" w:afterAutospacing="0"/>
        <w:ind w:firstLine="640" w:firstLineChars="200"/>
        <w:rPr>
          <w:rFonts w:ascii="Times New Roman" w:hAnsi="Times New Roman" w:eastAsia="仿宋_GB2312"/>
          <w:sz w:val="32"/>
          <w:szCs w:val="32"/>
        </w:rPr>
      </w:pPr>
      <w:r>
        <w:rPr>
          <w:rFonts w:ascii="Times New Roman" w:hAnsi="Times New Roman" w:eastAsia="仿宋_GB2312"/>
          <w:kern w:val="2"/>
          <w:sz w:val="32"/>
          <w:szCs w:val="32"/>
          <w:lang w:val="zh-CN"/>
        </w:rPr>
        <w:t>人员经费603.94万元，主要包括基本工资、津贴补贴、奖金、绩效工资、机关事业部门基本养老保险缴费、职业年金缴费、职工基本医疗保险缴费、住房公积金、医疗费、其他社会保障缴费、离休费、 退休费、 抚恤金、生活补助、医疗费补助、奖励金、其他对</w:t>
      </w:r>
      <w:r>
        <w:rPr>
          <w:rFonts w:ascii="Times New Roman" w:hAnsi="Times New Roman" w:eastAsia="仿宋_GB2312"/>
          <w:color w:val="333333"/>
          <w:sz w:val="33"/>
          <w:szCs w:val="33"/>
          <w:shd w:val="clear" w:color="auto" w:fill="FFFFFF"/>
        </w:rPr>
        <w:t>个人和家庭</w:t>
      </w:r>
      <w:r>
        <w:rPr>
          <w:rFonts w:ascii="Times New Roman" w:hAnsi="Times New Roman" w:eastAsia="仿宋_GB2312"/>
          <w:kern w:val="2"/>
          <w:sz w:val="32"/>
          <w:szCs w:val="32"/>
          <w:lang w:val="zh-CN"/>
        </w:rPr>
        <w:t>的补助支出。</w:t>
      </w:r>
    </w:p>
    <w:p>
      <w:pPr>
        <w:pStyle w:val="10"/>
        <w:widowControl/>
        <w:spacing w:beforeAutospacing="0" w:afterAutospacing="0"/>
        <w:rPr>
          <w:rFonts w:ascii="Times New Roman" w:hAnsi="Times New Roman" w:eastAsia="仿宋_GB2312"/>
          <w:sz w:val="32"/>
          <w:szCs w:val="32"/>
          <w:highlight w:val="yellow"/>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公用经费25.67万元，主要包括办公费、印刷费、咨询费、手续费、水费、电费、邮电费、取暖费、差旅费、维修（护）费、租赁费、培训费、劳务费、委托业务费、工会经费、福利费、其他交通费用、其他商品和服务支出、办公设备购置、专用设备购置、信息网络及软件购置更新、其他资本性支出。</w:t>
      </w: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五、财政拨款“三公” 经费支出决算情况说明</w:t>
      </w:r>
    </w:p>
    <w:p>
      <w:pPr>
        <w:keepNext/>
        <w:keepLines/>
        <w:snapToGrid w:val="0"/>
        <w:spacing w:line="580" w:lineRule="exact"/>
        <w:ind w:firstLine="640" w:firstLineChars="200"/>
        <w:outlineLvl w:val="1"/>
        <w:rPr>
          <w:rFonts w:ascii="Times New Roman" w:hAnsi="Times New Roman" w:eastAsia="仿宋_GB2312" w:cs="Times New Roman"/>
          <w:sz w:val="32"/>
          <w:szCs w:val="32"/>
          <w:highlight w:val="yellow"/>
        </w:rPr>
      </w:pPr>
    </w:p>
    <w:p>
      <w:pPr>
        <w:pStyle w:val="10"/>
        <w:widowControl/>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（一）“三公”经费财政拨款支出决算总体情况说明</w:t>
      </w:r>
    </w:p>
    <w:p>
      <w:pPr>
        <w:pStyle w:val="10"/>
        <w:widowControl/>
        <w:spacing w:beforeAutospacing="0" w:afterAutospacing="0"/>
        <w:rPr>
          <w:rFonts w:hint="eastAsia" w:ascii="Times New Roman" w:hAnsi="Times New Roman" w:eastAsia="仿宋_GB2312"/>
          <w:kern w:val="2"/>
          <w:sz w:val="32"/>
          <w:szCs w:val="32"/>
          <w:lang w:val="zh-CN" w:eastAsia="zh-CN"/>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val="zh-CN"/>
        </w:rPr>
        <w:t>本部门202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年度“三公”经费财政拨款支出预算为0万元，支出决算为 0万元，完成预算的 0%，</w:t>
      </w:r>
      <w:r>
        <w:rPr>
          <w:rFonts w:hint="eastAsia" w:ascii="Times New Roman" w:hAnsi="Times New Roman" w:eastAsia="仿宋_GB2312"/>
          <w:kern w:val="2"/>
          <w:sz w:val="32"/>
          <w:szCs w:val="32"/>
          <w:lang w:val="zh-CN"/>
        </w:rPr>
        <w:t>与预算持平</w:t>
      </w:r>
      <w:r>
        <w:rPr>
          <w:rFonts w:ascii="Times New Roman" w:hAnsi="Times New Roman" w:eastAsia="仿宋_GB2312"/>
          <w:kern w:val="2"/>
          <w:sz w:val="32"/>
          <w:szCs w:val="32"/>
          <w:lang w:val="zh-CN"/>
        </w:rPr>
        <w:t>，主要</w:t>
      </w:r>
      <w:r>
        <w:rPr>
          <w:rFonts w:hint="eastAsia" w:ascii="Times New Roman" w:hAnsi="Times New Roman" w:eastAsia="仿宋_GB2312"/>
          <w:kern w:val="2"/>
          <w:sz w:val="32"/>
          <w:szCs w:val="32"/>
          <w:lang w:val="zh-CN"/>
        </w:rPr>
        <w:t>是我部门无“三公”经费预算与支出</w:t>
      </w:r>
      <w:r>
        <w:rPr>
          <w:rFonts w:ascii="Times New Roman" w:hAnsi="Times New Roman" w:eastAsia="仿宋_GB2312"/>
          <w:kern w:val="2"/>
          <w:sz w:val="32"/>
          <w:szCs w:val="32"/>
          <w:lang w:val="zh-CN"/>
        </w:rPr>
        <w:t>；较2022年度决算</w:t>
      </w:r>
      <w:r>
        <w:rPr>
          <w:rFonts w:hint="eastAsia" w:ascii="Times New Roman" w:hAnsi="Times New Roman" w:eastAsia="仿宋_GB2312"/>
          <w:kern w:val="2"/>
          <w:sz w:val="32"/>
          <w:szCs w:val="32"/>
          <w:lang w:val="zh-CN"/>
        </w:rPr>
        <w:t>持平</w:t>
      </w:r>
      <w:r>
        <w:rPr>
          <w:rFonts w:ascii="Times New Roman" w:hAnsi="Times New Roman" w:eastAsia="仿宋_GB2312"/>
          <w:kern w:val="2"/>
          <w:sz w:val="32"/>
          <w:szCs w:val="32"/>
          <w:lang w:val="zh-CN"/>
        </w:rPr>
        <w:t>，主要是</w:t>
      </w:r>
      <w:r>
        <w:rPr>
          <w:rFonts w:hint="eastAsia" w:ascii="Times New Roman" w:hAnsi="Times New Roman" w:eastAsia="仿宋_GB2312"/>
          <w:kern w:val="2"/>
          <w:sz w:val="32"/>
          <w:szCs w:val="32"/>
          <w:lang w:val="zh-CN"/>
        </w:rPr>
        <w:t>我</w:t>
      </w:r>
      <w:r>
        <w:rPr>
          <w:rFonts w:hint="eastAsia" w:ascii="Times New Roman" w:hAnsi="Times New Roman" w:eastAsia="仿宋_GB2312"/>
          <w:kern w:val="2"/>
          <w:sz w:val="32"/>
          <w:szCs w:val="32"/>
          <w:lang w:val="zh-CN" w:eastAsia="zh-CN"/>
        </w:rPr>
        <w:t>部门</w:t>
      </w:r>
      <w:r>
        <w:rPr>
          <w:rFonts w:hint="eastAsia" w:ascii="Times New Roman" w:hAnsi="Times New Roman" w:eastAsia="仿宋_GB2312"/>
          <w:kern w:val="2"/>
          <w:sz w:val="32"/>
          <w:szCs w:val="32"/>
          <w:lang w:val="zh-CN"/>
        </w:rPr>
        <w:t>无“三公”经费支出</w:t>
      </w:r>
      <w:r>
        <w:rPr>
          <w:rFonts w:hint="eastAsia" w:ascii="Times New Roman" w:hAnsi="Times New Roman" w:eastAsia="仿宋_GB2312"/>
          <w:kern w:val="2"/>
          <w:sz w:val="32"/>
          <w:szCs w:val="32"/>
          <w:lang w:val="zh-CN" w:eastAsia="zh-CN"/>
        </w:rPr>
        <w:t>。</w:t>
      </w:r>
    </w:p>
    <w:p>
      <w:pPr>
        <w:adjustRightInd w:val="0"/>
        <w:snapToGrid w:val="0"/>
        <w:spacing w:line="580" w:lineRule="exact"/>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（二）“三公”经费财政拨款支出决算具体情况说明</w:t>
      </w:r>
    </w:p>
    <w:p>
      <w:pPr>
        <w:pStyle w:val="10"/>
        <w:widowControl/>
        <w:spacing w:beforeAutospacing="0" w:afterAutospacing="0"/>
        <w:ind w:firstLine="642" w:firstLineChars="200"/>
        <w:rPr>
          <w:rFonts w:ascii="Times New Roman" w:hAnsi="Times New Roman" w:eastAsia="仿宋_GB2312"/>
          <w:kern w:val="2"/>
          <w:sz w:val="32"/>
          <w:szCs w:val="32"/>
        </w:rPr>
      </w:pPr>
      <w:r>
        <w:rPr>
          <w:rFonts w:ascii="Times New Roman" w:hAnsi="Times New Roman" w:eastAsia="楷体_GB2312"/>
          <w:b/>
          <w:bCs/>
          <w:kern w:val="2"/>
          <w:sz w:val="32"/>
          <w:szCs w:val="32"/>
        </w:rPr>
        <w:t>1.因公出国（境）费支出情况。</w:t>
      </w:r>
      <w:r>
        <w:rPr>
          <w:rFonts w:ascii="Times New Roman" w:hAnsi="Times New Roman" w:eastAsia="仿宋_GB2312"/>
          <w:kern w:val="2"/>
          <w:sz w:val="32"/>
          <w:szCs w:val="32"/>
          <w:lang w:val="zh-CN"/>
        </w:rPr>
        <w:t>本部门</w:t>
      </w:r>
      <w:r>
        <w:rPr>
          <w:rFonts w:ascii="Times New Roman" w:hAnsi="Times New Roman" w:eastAsia="仿宋_GB2312"/>
          <w:kern w:val="2"/>
          <w:sz w:val="32"/>
          <w:szCs w:val="32"/>
        </w:rPr>
        <w:t>2023年度因公出国（境）费支出预算为0万元,支出决算0万元。完成预算的00。因公出国（境）费支出</w:t>
      </w:r>
      <w:r>
        <w:rPr>
          <w:rFonts w:hint="eastAsia" w:ascii="Times New Roman" w:hAnsi="Times New Roman" w:eastAsia="仿宋_GB2312"/>
          <w:kern w:val="2"/>
          <w:sz w:val="32"/>
          <w:szCs w:val="32"/>
          <w:lang w:eastAsia="zh-CN"/>
        </w:rPr>
        <w:t>与</w:t>
      </w:r>
      <w:r>
        <w:rPr>
          <w:rFonts w:ascii="Times New Roman" w:hAnsi="Times New Roman" w:eastAsia="仿宋_GB2312"/>
          <w:kern w:val="2"/>
          <w:sz w:val="32"/>
          <w:szCs w:val="32"/>
        </w:rPr>
        <w:t>预算</w:t>
      </w:r>
      <w:r>
        <w:rPr>
          <w:rFonts w:ascii="仿宋_gb2312" w:hAnsi="仿宋_gb2312" w:eastAsia="仿宋_gb2312" w:cs="仿宋_gb2312"/>
          <w:color w:val="000000"/>
          <w:sz w:val="33"/>
          <w:szCs w:val="33"/>
        </w:rPr>
        <w:t>持平</w:t>
      </w:r>
      <w:r>
        <w:rPr>
          <w:rFonts w:hint="eastAsia" w:ascii="仿宋_gb2312" w:hAnsi="仿宋_gb2312" w:cs="仿宋_gb2312"/>
          <w:color w:val="000000"/>
          <w:sz w:val="33"/>
          <w:szCs w:val="33"/>
        </w:rPr>
        <w:t>，</w:t>
      </w:r>
      <w:r>
        <w:rPr>
          <w:rFonts w:hint="eastAsia" w:ascii="Times New Roman" w:hAnsi="Times New Roman" w:eastAsia="仿宋_GB2312"/>
          <w:kern w:val="2"/>
          <w:sz w:val="32"/>
          <w:szCs w:val="32"/>
        </w:rPr>
        <w:t>与</w:t>
      </w:r>
      <w:r>
        <w:rPr>
          <w:rFonts w:ascii="Times New Roman" w:hAnsi="Times New Roman" w:eastAsia="仿宋_GB2312"/>
          <w:kern w:val="2"/>
          <w:sz w:val="32"/>
          <w:szCs w:val="32"/>
        </w:rPr>
        <w:t>上年</w:t>
      </w:r>
      <w:r>
        <w:rPr>
          <w:rFonts w:hint="eastAsia" w:ascii="Times New Roman" w:hAnsi="Times New Roman" w:eastAsia="仿宋_GB2312"/>
          <w:kern w:val="2"/>
          <w:sz w:val="32"/>
          <w:szCs w:val="32"/>
        </w:rPr>
        <w:t>202</w:t>
      </w:r>
      <w:r>
        <w:rPr>
          <w:rFonts w:hint="eastAsia" w:ascii="Times New Roman" w:hAnsi="Times New Roman" w:eastAsia="仿宋_GB2312"/>
          <w:kern w:val="2"/>
          <w:sz w:val="32"/>
          <w:szCs w:val="32"/>
          <w:lang w:val="en-US" w:eastAsia="zh-CN"/>
        </w:rPr>
        <w:t>2</w:t>
      </w:r>
      <w:r>
        <w:rPr>
          <w:rFonts w:hint="eastAsia" w:ascii="Times New Roman" w:hAnsi="Times New Roman" w:eastAsia="仿宋_GB2312"/>
          <w:kern w:val="2"/>
          <w:sz w:val="32"/>
          <w:szCs w:val="32"/>
        </w:rPr>
        <w:t>年度决算支出持平，主要是</w:t>
      </w:r>
      <w:r>
        <w:rPr>
          <w:rFonts w:ascii="Times New Roman" w:hAnsi="Times New Roman" w:eastAsia="仿宋_GB2312"/>
          <w:kern w:val="2"/>
          <w:sz w:val="32"/>
          <w:szCs w:val="32"/>
        </w:rPr>
        <w:t>无本</w:t>
      </w:r>
      <w:r>
        <w:rPr>
          <w:rFonts w:hint="eastAsia" w:ascii="Times New Roman" w:hAnsi="Times New Roman" w:eastAsia="仿宋_GB2312"/>
          <w:kern w:val="2"/>
          <w:sz w:val="32"/>
          <w:szCs w:val="32"/>
          <w:lang w:eastAsia="zh-CN"/>
        </w:rPr>
        <w:t>部门</w:t>
      </w:r>
      <w:r>
        <w:rPr>
          <w:rFonts w:ascii="Times New Roman" w:hAnsi="Times New Roman" w:eastAsia="仿宋_GB2312"/>
          <w:kern w:val="2"/>
          <w:sz w:val="32"/>
          <w:szCs w:val="32"/>
        </w:rPr>
        <w:t>组织的出国（境）团组。</w:t>
      </w:r>
    </w:p>
    <w:p>
      <w:p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楷体_GB2312" w:cs="Times New Roman"/>
          <w:b/>
          <w:bCs/>
          <w:kern w:val="2"/>
          <w:sz w:val="32"/>
          <w:szCs w:val="32"/>
        </w:rPr>
        <w:t>2.</w:t>
      </w:r>
      <w:r>
        <w:rPr>
          <w:rFonts w:ascii="Times New Roman" w:hAnsi="Times New Roman" w:eastAsia="楷体_GB2312" w:cs="Times New Roman"/>
          <w:b/>
          <w:bCs/>
          <w:sz w:val="32"/>
          <w:szCs w:val="32"/>
        </w:rPr>
        <w:t>公务用车购置及运行维护费支出情况。</w:t>
      </w:r>
      <w:r>
        <w:rPr>
          <w:rFonts w:ascii="Times New Roman" w:hAnsi="Times New Roman" w:eastAsia="仿宋_GB2312" w:cs="Times New Roman"/>
          <w:kern w:val="2"/>
          <w:sz w:val="32"/>
          <w:szCs w:val="32"/>
          <w:lang w:val="zh-CN"/>
        </w:rPr>
        <w:t>本部门202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年度公务用车购置及运行维护费预算为0万元，支出决算 0万元，完成预算的0%,</w:t>
      </w:r>
      <w:r>
        <w:rPr>
          <w:rFonts w:hint="eastAsia" w:ascii="Times New Roman" w:hAnsi="Times New Roman" w:eastAsia="仿宋_GB2312" w:cs="Times New Roman"/>
          <w:kern w:val="2"/>
          <w:sz w:val="32"/>
          <w:szCs w:val="32"/>
          <w:lang w:val="zh-CN"/>
        </w:rPr>
        <w:t>与</w:t>
      </w:r>
      <w:r>
        <w:rPr>
          <w:rFonts w:ascii="Times New Roman" w:hAnsi="Times New Roman" w:eastAsia="仿宋_GB2312" w:cs="Times New Roman"/>
          <w:kern w:val="2"/>
          <w:sz w:val="32"/>
          <w:szCs w:val="32"/>
          <w:lang w:val="zh-CN"/>
        </w:rPr>
        <w:t>预算</w:t>
      </w:r>
      <w:r>
        <w:rPr>
          <w:rFonts w:hint="eastAsia" w:ascii="Times New Roman" w:hAnsi="Times New Roman" w:eastAsia="仿宋_GB2312" w:cs="Times New Roman"/>
          <w:kern w:val="2"/>
          <w:sz w:val="32"/>
          <w:szCs w:val="32"/>
          <w:lang w:val="zh-CN"/>
        </w:rPr>
        <w:t>持平</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主要是</w:t>
      </w:r>
      <w:r>
        <w:rPr>
          <w:rFonts w:ascii="Times New Roman" w:hAnsi="Times New Roman" w:eastAsia="仿宋_GB2312" w:cs="Times New Roman"/>
          <w:kern w:val="2"/>
          <w:sz w:val="32"/>
          <w:szCs w:val="32"/>
          <w:lang w:val="zh-CN"/>
        </w:rPr>
        <w:t>本部门</w:t>
      </w:r>
      <w:r>
        <w:rPr>
          <w:rFonts w:hint="eastAsia" w:ascii="Times New Roman" w:hAnsi="Times New Roman" w:eastAsia="仿宋_GB2312" w:cs="Times New Roman"/>
          <w:kern w:val="2"/>
          <w:sz w:val="32"/>
          <w:szCs w:val="32"/>
          <w:lang w:val="zh-CN"/>
        </w:rPr>
        <w:t>无公车购置及运行维护费，</w:t>
      </w:r>
      <w:r>
        <w:rPr>
          <w:rFonts w:ascii="Times New Roman" w:hAnsi="Times New Roman" w:eastAsia="仿宋_GB2312" w:cs="Times New Roman"/>
          <w:kern w:val="2"/>
          <w:sz w:val="32"/>
          <w:szCs w:val="32"/>
          <w:lang w:val="zh-CN"/>
        </w:rPr>
        <w:t>其中：</w:t>
      </w:r>
    </w:p>
    <w:p>
      <w:pPr>
        <w:adjustRightInd w:val="0"/>
        <w:snapToGri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公务用车购置费支出</w:t>
      </w:r>
      <w:r>
        <w:rPr>
          <w:rFonts w:hint="eastAsia" w:ascii="Times New Roman" w:hAnsi="Times New Roman" w:eastAsia="仿宋_GB2312" w:cs="Times New Roman"/>
          <w:kern w:val="2"/>
          <w:sz w:val="32"/>
          <w:szCs w:val="32"/>
          <w:lang w:val="en-US" w:eastAsia="zh-CN"/>
        </w:rPr>
        <w:t>0</w:t>
      </w:r>
      <w:r>
        <w:rPr>
          <w:rFonts w:ascii="Times New Roman" w:hAnsi="Times New Roman" w:eastAsia="仿宋_GB2312" w:cs="Times New Roman"/>
          <w:kern w:val="2"/>
          <w:sz w:val="32"/>
          <w:szCs w:val="32"/>
          <w:lang w:val="zh-CN"/>
        </w:rPr>
        <w:t>万元：本部门2023年度公务用车购置量0辆，发生“公务用车购置”经费支出 0万元。公务用车购置费支出</w:t>
      </w:r>
      <w:r>
        <w:rPr>
          <w:rFonts w:hint="eastAsia" w:ascii="Times New Roman" w:hAnsi="Times New Roman" w:eastAsia="仿宋_GB2312" w:cs="Times New Roman"/>
          <w:kern w:val="2"/>
          <w:sz w:val="32"/>
          <w:szCs w:val="32"/>
          <w:lang w:val="zh-CN"/>
        </w:rPr>
        <w:t>与</w:t>
      </w:r>
      <w:r>
        <w:rPr>
          <w:rFonts w:ascii="Times New Roman" w:hAnsi="Times New Roman" w:eastAsia="仿宋_GB2312" w:cs="Times New Roman"/>
          <w:kern w:val="2"/>
          <w:sz w:val="32"/>
          <w:szCs w:val="32"/>
          <w:lang w:val="zh-CN"/>
        </w:rPr>
        <w:t>预算持平</w:t>
      </w:r>
      <w:r>
        <w:rPr>
          <w:rFonts w:hint="eastAsia" w:ascii="Times New Roman" w:hAnsi="Times New Roman" w:eastAsia="仿宋_GB2312" w:cs="Times New Roman"/>
          <w:kern w:val="2"/>
          <w:sz w:val="32"/>
          <w:szCs w:val="32"/>
          <w:lang w:val="zh-CN"/>
        </w:rPr>
        <w:t>，主要是我</w:t>
      </w:r>
      <w:r>
        <w:rPr>
          <w:rFonts w:hint="eastAsia" w:ascii="Times New Roman" w:hAnsi="Times New Roman" w:eastAsia="仿宋_GB2312" w:cs="Times New Roman"/>
          <w:kern w:val="2"/>
          <w:sz w:val="32"/>
          <w:szCs w:val="32"/>
          <w:lang w:val="zh-CN" w:eastAsia="zh-CN"/>
        </w:rPr>
        <w:t>部门</w:t>
      </w:r>
      <w:r>
        <w:rPr>
          <w:rFonts w:hint="eastAsia" w:ascii="Times New Roman" w:hAnsi="Times New Roman" w:eastAsia="仿宋_GB2312" w:cs="Times New Roman"/>
          <w:kern w:val="2"/>
          <w:sz w:val="32"/>
          <w:szCs w:val="32"/>
          <w:lang w:val="zh-CN"/>
        </w:rPr>
        <w:t>无公务用车购置计划；与202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年度决算支出持平</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主要是未发生“公务用车购置”经费支出。</w:t>
      </w:r>
    </w:p>
    <w:p>
      <w:pPr>
        <w:adjustRightInd w:val="0"/>
        <w:snapToGrid w:val="0"/>
        <w:spacing w:line="580" w:lineRule="exact"/>
        <w:ind w:firstLine="640" w:firstLineChars="200"/>
        <w:rPr>
          <w:rFonts w:ascii="Times New Roman" w:hAnsi="Times New Roman" w:eastAsia="仿宋_GB2312" w:cs="Times New Roman"/>
          <w:kern w:val="2"/>
          <w:sz w:val="32"/>
          <w:szCs w:val="32"/>
          <w:lang w:val="zh-CN"/>
        </w:rPr>
      </w:pPr>
    </w:p>
    <w:p>
      <w:p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w:t>
      </w:r>
      <w:r>
        <w:rPr>
          <w:rFonts w:ascii="Times New Roman" w:hAnsi="Times New Roman" w:eastAsia="楷体_GB2312" w:cs="Times New Roman"/>
          <w:b/>
          <w:bCs/>
          <w:sz w:val="32"/>
          <w:szCs w:val="32"/>
        </w:rPr>
        <w:t>万元</w:t>
      </w:r>
      <w:r>
        <w:rPr>
          <w:rFonts w:ascii="Times New Roman" w:hAnsi="Times New Roman" w:eastAsia="仿宋_GB2312" w:cs="Times New Roman"/>
          <w:b/>
          <w:sz w:val="32"/>
          <w:szCs w:val="32"/>
        </w:rPr>
        <w:t>：</w:t>
      </w:r>
      <w:r>
        <w:rPr>
          <w:rFonts w:ascii="Times New Roman" w:hAnsi="Times New Roman" w:eastAsia="仿宋_GB2312" w:cs="Times New Roman"/>
          <w:kern w:val="2"/>
          <w:sz w:val="32"/>
          <w:szCs w:val="32"/>
          <w:lang w:val="zh-CN"/>
        </w:rPr>
        <w:t>本部门202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年度单位公务用车保有量0辆，发生运行维护费支出0万元。公车运行维护费支出</w:t>
      </w:r>
      <w:r>
        <w:rPr>
          <w:rFonts w:hint="eastAsia" w:ascii="Times New Roman" w:hAnsi="Times New Roman" w:eastAsia="仿宋_GB2312" w:cs="Times New Roman"/>
          <w:kern w:val="2"/>
          <w:sz w:val="32"/>
          <w:szCs w:val="32"/>
          <w:lang w:val="zh-CN"/>
        </w:rPr>
        <w:t>与预算</w:t>
      </w:r>
      <w:r>
        <w:rPr>
          <w:rFonts w:ascii="Times New Roman" w:hAnsi="Times New Roman" w:eastAsia="仿宋_GB2312" w:cs="Times New Roman"/>
          <w:kern w:val="2"/>
          <w:sz w:val="32"/>
          <w:szCs w:val="32"/>
          <w:lang w:val="zh-CN"/>
        </w:rPr>
        <w:t xml:space="preserve"> </w:t>
      </w:r>
      <w:r>
        <w:rPr>
          <w:rFonts w:hint="eastAsia" w:ascii="Times New Roman" w:hAnsi="Times New Roman" w:eastAsia="仿宋_GB2312" w:cs="Times New Roman"/>
          <w:kern w:val="2"/>
          <w:sz w:val="32"/>
          <w:szCs w:val="32"/>
          <w:lang w:val="zh-CN"/>
        </w:rPr>
        <w:t>持平</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未发生“公车运行维护费</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w:t>
      </w:r>
      <w:r>
        <w:rPr>
          <w:rFonts w:ascii="Times New Roman" w:hAnsi="Times New Roman" w:eastAsia="仿宋_GB2312" w:cs="Times New Roman"/>
          <w:kern w:val="2"/>
          <w:sz w:val="32"/>
          <w:szCs w:val="32"/>
          <w:lang w:val="zh-CN"/>
        </w:rPr>
        <w:t xml:space="preserve"> </w:t>
      </w:r>
      <w:r>
        <w:rPr>
          <w:rFonts w:hint="eastAsia" w:ascii="Times New Roman" w:hAnsi="Times New Roman" w:eastAsia="仿宋_GB2312" w:cs="Times New Roman"/>
          <w:kern w:val="2"/>
          <w:sz w:val="32"/>
          <w:szCs w:val="32"/>
          <w:lang w:val="zh-CN"/>
        </w:rPr>
        <w:t>持平</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未发生“公车运行维护费</w:t>
      </w:r>
      <w:r>
        <w:rPr>
          <w:rFonts w:ascii="Times New Roman" w:hAnsi="Times New Roman" w:eastAsia="仿宋_GB2312" w:cs="Times New Roman"/>
          <w:kern w:val="2"/>
          <w:sz w:val="32"/>
          <w:szCs w:val="32"/>
          <w:lang w:val="zh-CN"/>
        </w:rPr>
        <w:t>。</w:t>
      </w:r>
    </w:p>
    <w:p>
      <w:p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楷体_GB2312" w:cs="Times New Roman"/>
          <w:b/>
          <w:bCs/>
          <w:kern w:val="2"/>
          <w:sz w:val="32"/>
          <w:szCs w:val="32"/>
        </w:rPr>
        <w:t>3.公务接待费。</w:t>
      </w:r>
      <w:r>
        <w:rPr>
          <w:rFonts w:ascii="Times New Roman" w:hAnsi="Times New Roman" w:eastAsia="仿宋_GB2312" w:cs="Times New Roman"/>
          <w:kern w:val="2"/>
          <w:sz w:val="32"/>
          <w:szCs w:val="32"/>
          <w:lang w:val="zh-CN"/>
        </w:rPr>
        <w:t>本部门2023年度公务接待费支出预算为0万元，支出决算0万元，完成预算的0%。公务接待费支出</w:t>
      </w:r>
      <w:r>
        <w:rPr>
          <w:rFonts w:hint="eastAsia" w:ascii="Times New Roman" w:hAnsi="Times New Roman" w:eastAsia="仿宋_GB2312" w:cs="Times New Roman"/>
          <w:kern w:val="2"/>
          <w:sz w:val="32"/>
          <w:szCs w:val="32"/>
          <w:lang w:val="zh-CN"/>
        </w:rPr>
        <w:t>与预算持平</w:t>
      </w:r>
      <w:r>
        <w:rPr>
          <w:rFonts w:ascii="Times New Roman" w:hAnsi="Times New Roman" w:eastAsia="仿宋_GB2312" w:cs="Times New Roman"/>
          <w:kern w:val="2"/>
          <w:sz w:val="32"/>
          <w:szCs w:val="32"/>
          <w:lang w:val="zh-CN"/>
        </w:rPr>
        <w:t>,主要</w:t>
      </w:r>
      <w:r>
        <w:rPr>
          <w:rFonts w:hint="eastAsia" w:ascii="Times New Roman" w:hAnsi="Times New Roman" w:eastAsia="仿宋_GB2312" w:cs="Times New Roman"/>
          <w:kern w:val="2"/>
          <w:sz w:val="32"/>
          <w:szCs w:val="32"/>
          <w:lang w:val="zh-CN"/>
        </w:rPr>
        <w:t>是认真落实过紧日子的要求厉行节约，从严控制和压缩公务接待经费开支</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年度决算支出持平，主要是认真落实过紧日子的要求厉行节约，从严控制和压缩公务接待经费开支</w:t>
      </w:r>
      <w:r>
        <w:rPr>
          <w:rFonts w:ascii="Times New Roman" w:hAnsi="Times New Roman" w:eastAsia="仿宋_GB2312" w:cs="Times New Roman"/>
          <w:kern w:val="2"/>
          <w:sz w:val="32"/>
          <w:szCs w:val="32"/>
          <w:lang w:val="zh-CN"/>
        </w:rPr>
        <w:t>。本年度共发生公务接待</w:t>
      </w:r>
      <w:r>
        <w:rPr>
          <w:rFonts w:hint="eastAsia" w:ascii="Times New Roman" w:hAnsi="Times New Roman" w:eastAsia="仿宋_GB2312" w:cs="Times New Roman"/>
          <w:kern w:val="2"/>
          <w:sz w:val="32"/>
          <w:szCs w:val="32"/>
          <w:lang w:val="en-US" w:eastAsia="zh-CN"/>
        </w:rPr>
        <w:t>0</w:t>
      </w:r>
      <w:r>
        <w:rPr>
          <w:rFonts w:ascii="Times New Roman" w:hAnsi="Times New Roman" w:eastAsia="仿宋_GB2312" w:cs="Times New Roman"/>
          <w:kern w:val="2"/>
          <w:sz w:val="32"/>
          <w:szCs w:val="32"/>
          <w:lang w:val="zh-CN"/>
        </w:rPr>
        <w:t>批次、</w:t>
      </w:r>
      <w:r>
        <w:rPr>
          <w:rFonts w:hint="eastAsia" w:ascii="Times New Roman" w:hAnsi="Times New Roman" w:eastAsia="仿宋_GB2312" w:cs="Times New Roman"/>
          <w:kern w:val="2"/>
          <w:sz w:val="32"/>
          <w:szCs w:val="32"/>
          <w:lang w:val="en-US" w:eastAsia="zh-CN"/>
        </w:rPr>
        <w:t>0</w:t>
      </w:r>
      <w:r>
        <w:rPr>
          <w:rFonts w:ascii="Times New Roman" w:hAnsi="Times New Roman" w:eastAsia="仿宋_GB2312" w:cs="Times New Roman"/>
          <w:kern w:val="2"/>
          <w:sz w:val="32"/>
          <w:szCs w:val="32"/>
          <w:lang w:val="zh-CN"/>
        </w:rPr>
        <w:t>人次。</w:t>
      </w:r>
    </w:p>
    <w:p>
      <w:pPr>
        <w:pStyle w:val="10"/>
        <w:widowControl/>
        <w:spacing w:beforeAutospacing="0" w:afterAutospacing="0"/>
        <w:jc w:val="both"/>
        <w:outlineLvl w:val="1"/>
        <w:rPr>
          <w:rFonts w:ascii="Times New Roman" w:hAnsi="Times New Roman" w:eastAsia="黑体"/>
          <w:color w:val="333333"/>
          <w:sz w:val="33"/>
          <w:szCs w:val="33"/>
          <w:shd w:val="clear" w:color="auto" w:fill="FFFFFF"/>
        </w:rPr>
      </w:pPr>
    </w:p>
    <w:p>
      <w:pPr>
        <w:pStyle w:val="10"/>
        <w:widowControl/>
        <w:spacing w:beforeAutospacing="0" w:afterAutospacing="0"/>
        <w:ind w:firstLine="660" w:firstLineChars="200"/>
        <w:jc w:val="both"/>
        <w:outlineLvl w:val="1"/>
        <w:rPr>
          <w:rFonts w:ascii="Times New Roman" w:hAnsi="Times New Roman" w:eastAsia="黑体"/>
          <w:color w:val="333333"/>
          <w:sz w:val="33"/>
          <w:szCs w:val="33"/>
          <w:shd w:val="clear" w:color="auto" w:fill="FFFFFF"/>
        </w:rPr>
      </w:pPr>
      <w:r>
        <w:rPr>
          <w:rFonts w:ascii="Times New Roman" w:hAnsi="Times New Roman" w:eastAsia="黑体"/>
          <w:color w:val="333333"/>
          <w:sz w:val="33"/>
          <w:szCs w:val="33"/>
          <w:shd w:val="clear" w:color="auto" w:fill="FFFFFF"/>
        </w:rPr>
        <w:t>六、</w:t>
      </w:r>
      <w:r>
        <w:rPr>
          <w:rFonts w:ascii="Times New Roman" w:hAnsi="Times New Roman" w:eastAsia="黑体"/>
          <w:sz w:val="32"/>
          <w:szCs w:val="32"/>
        </w:rPr>
        <w:t>机关运行经费支出说明</w:t>
      </w:r>
    </w:p>
    <w:p>
      <w:pPr>
        <w:pStyle w:val="10"/>
        <w:widowControl/>
        <w:spacing w:beforeAutospacing="0" w:afterAutospacing="0"/>
        <w:jc w:val="both"/>
        <w:rPr>
          <w:rFonts w:ascii="Times New Roman" w:hAnsi="Times New Roman" w:eastAsia="仿宋_GB2312"/>
          <w:sz w:val="32"/>
          <w:szCs w:val="32"/>
          <w:highlight w:val="yellow"/>
        </w:rPr>
      </w:pPr>
      <w:r>
        <w:rPr>
          <w:rFonts w:ascii="Times New Roman" w:hAnsi="Times New Roman" w:eastAsia="Arial"/>
          <w:color w:val="333333"/>
          <w:sz w:val="19"/>
          <w:szCs w:val="19"/>
          <w:shd w:val="clear" w:color="auto" w:fill="FFFFFF"/>
        </w:rPr>
        <w:t> </w:t>
      </w:r>
      <w:r>
        <w:rPr>
          <w:rFonts w:ascii="Times New Roman" w:hAnsi="Times New Roman" w:eastAsia="宋体"/>
          <w:color w:val="333333"/>
          <w:sz w:val="19"/>
          <w:szCs w:val="19"/>
          <w:shd w:val="clear" w:color="auto" w:fill="FFFFFF"/>
        </w:rPr>
        <w:t xml:space="preserve">     </w:t>
      </w:r>
    </w:p>
    <w:p>
      <w:pPr>
        <w:shd w:val="clear" w:color="auto" w:fill="FFFFFF"/>
        <w:spacing w:before="195" w:after="195"/>
        <w:rPr>
          <w:rFonts w:ascii="Times New Roman" w:hAnsi="Times New Roman" w:eastAsia="仿宋_GB2312" w:cs="宋体"/>
          <w:kern w:val="2"/>
          <w:sz w:val="32"/>
          <w:szCs w:val="32"/>
          <w:lang w:val="zh-CN"/>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本部门202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年度机关运行经费支出0万元，</w:t>
      </w:r>
      <w:r>
        <w:rPr>
          <w:rFonts w:hint="eastAsia" w:ascii="仿宋_gb2312" w:hAnsi="仿宋_gb2312" w:cs="仿宋_gb2312"/>
          <w:color w:val="333333"/>
          <w:sz w:val="33"/>
          <w:szCs w:val="33"/>
        </w:rPr>
        <w:t>与</w:t>
      </w:r>
      <w:r>
        <w:rPr>
          <w:rFonts w:ascii="Times New Roman" w:hAnsi="Times New Roman" w:eastAsia="仿宋_GB2312" w:cs="宋体"/>
          <w:kern w:val="2"/>
          <w:sz w:val="32"/>
          <w:szCs w:val="32"/>
          <w:lang w:val="zh-CN"/>
        </w:rPr>
        <w:t>202</w:t>
      </w:r>
      <w:r>
        <w:rPr>
          <w:rFonts w:hint="eastAsia" w:ascii="Times New Roman" w:hAnsi="Times New Roman" w:eastAsia="仿宋_GB2312" w:cs="宋体"/>
          <w:kern w:val="2"/>
          <w:sz w:val="32"/>
          <w:szCs w:val="32"/>
          <w:lang w:val="en-US" w:eastAsia="zh-CN"/>
        </w:rPr>
        <w:t>2</w:t>
      </w:r>
      <w:r>
        <w:rPr>
          <w:rFonts w:ascii="仿宋_gb2312" w:hAnsi="仿宋_gb2312" w:eastAsia="仿宋_gb2312" w:cs="仿宋_gb2312"/>
          <w:color w:val="333333"/>
          <w:sz w:val="33"/>
          <w:szCs w:val="33"/>
        </w:rPr>
        <w:t>年度持平，</w:t>
      </w:r>
      <w:r>
        <w:rPr>
          <w:rFonts w:hint="eastAsia" w:ascii="仿宋_gb2312" w:hAnsi="仿宋_gb2312" w:cs="仿宋_gb2312"/>
          <w:color w:val="333333"/>
          <w:sz w:val="33"/>
          <w:szCs w:val="33"/>
        </w:rPr>
        <w:t>与预算</w:t>
      </w:r>
      <w:r>
        <w:rPr>
          <w:rFonts w:ascii="仿宋_gb2312" w:hAnsi="仿宋_gb2312" w:eastAsia="仿宋_gb2312" w:cs="仿宋_gb2312"/>
          <w:color w:val="333333"/>
          <w:sz w:val="33"/>
          <w:szCs w:val="33"/>
        </w:rPr>
        <w:t>持平。</w:t>
      </w:r>
      <w:r>
        <w:rPr>
          <w:rFonts w:ascii="Times New Roman" w:hAnsi="Times New Roman" w:eastAsia="仿宋_GB2312" w:cs="宋体"/>
          <w:kern w:val="2"/>
          <w:sz w:val="32"/>
          <w:szCs w:val="32"/>
          <w:lang w:val="zh-CN"/>
        </w:rPr>
        <w:t>主要原因是</w:t>
      </w:r>
      <w:r>
        <w:rPr>
          <w:rFonts w:hint="eastAsia" w:ascii="Times New Roman" w:hAnsi="Times New Roman" w:eastAsia="仿宋_GB2312" w:cs="宋体"/>
          <w:kern w:val="2"/>
          <w:sz w:val="32"/>
          <w:szCs w:val="32"/>
          <w:lang w:val="zh-CN"/>
        </w:rPr>
        <w:t>我</w:t>
      </w:r>
      <w:r>
        <w:rPr>
          <w:rFonts w:hint="eastAsia" w:ascii="Times New Roman" w:hAnsi="Times New Roman" w:eastAsia="仿宋_GB2312" w:cs="宋体"/>
          <w:kern w:val="2"/>
          <w:sz w:val="32"/>
          <w:szCs w:val="32"/>
          <w:lang w:val="zh-CN" w:eastAsia="zh-CN"/>
        </w:rPr>
        <w:t>部门</w:t>
      </w:r>
      <w:r>
        <w:rPr>
          <w:rFonts w:hint="eastAsia" w:ascii="Times New Roman" w:hAnsi="Times New Roman" w:eastAsia="仿宋_GB2312" w:cs="宋体"/>
          <w:kern w:val="2"/>
          <w:sz w:val="32"/>
          <w:szCs w:val="32"/>
          <w:lang w:val="zh-CN"/>
        </w:rPr>
        <w:t>为事业</w:t>
      </w:r>
      <w:r>
        <w:rPr>
          <w:rFonts w:hint="eastAsia" w:ascii="Times New Roman" w:hAnsi="Times New Roman" w:eastAsia="仿宋_GB2312" w:cs="宋体"/>
          <w:kern w:val="2"/>
          <w:sz w:val="32"/>
          <w:szCs w:val="32"/>
          <w:lang w:val="zh-CN" w:eastAsia="zh-CN"/>
        </w:rPr>
        <w:t>部门</w:t>
      </w:r>
      <w:r>
        <w:rPr>
          <w:rFonts w:hint="eastAsia" w:ascii="Times New Roman" w:hAnsi="Times New Roman" w:eastAsia="仿宋_GB2312" w:cs="宋体"/>
          <w:kern w:val="2"/>
          <w:sz w:val="32"/>
          <w:szCs w:val="32"/>
          <w:lang w:val="zh-CN"/>
        </w:rPr>
        <w:t>，无机关运行经费支出</w:t>
      </w:r>
      <w:r>
        <w:rPr>
          <w:rFonts w:ascii="Times New Roman" w:hAnsi="Times New Roman" w:eastAsia="仿宋_GB2312" w:cs="宋体"/>
          <w:kern w:val="2"/>
          <w:sz w:val="32"/>
          <w:szCs w:val="32"/>
          <w:lang w:val="zh-CN"/>
        </w:rPr>
        <w:t>。</w:t>
      </w:r>
    </w:p>
    <w:p>
      <w:pPr>
        <w:adjustRightInd w:val="0"/>
        <w:snapToGrid w:val="0"/>
        <w:spacing w:line="580" w:lineRule="exact"/>
        <w:ind w:firstLine="660" w:firstLineChars="200"/>
        <w:rPr>
          <w:rFonts w:ascii="Times New Roman" w:hAnsi="Times New Roman" w:eastAsia="仿宋_GB2312" w:cs="Times New Roman"/>
          <w:sz w:val="32"/>
          <w:szCs w:val="32"/>
          <w:highlight w:val="yellow"/>
        </w:rPr>
      </w:pPr>
      <w:r>
        <w:rPr>
          <w:rFonts w:ascii="Times New Roman" w:hAnsi="Times New Roman" w:eastAsia="黑体" w:cs="Times New Roman"/>
          <w:color w:val="333333"/>
          <w:sz w:val="33"/>
          <w:szCs w:val="33"/>
          <w:shd w:val="clear" w:color="auto" w:fill="FFFFFF"/>
        </w:rPr>
        <w:t>七、</w:t>
      </w:r>
      <w:r>
        <w:rPr>
          <w:rFonts w:ascii="Times New Roman" w:hAnsi="Times New Roman" w:eastAsia="黑体" w:cs="Times New Roman"/>
          <w:sz w:val="32"/>
          <w:szCs w:val="32"/>
        </w:rPr>
        <w:t>政府采购支出说明</w:t>
      </w:r>
    </w:p>
    <w:p>
      <w:pPr>
        <w:pStyle w:val="10"/>
        <w:widowControl/>
        <w:spacing w:beforeAutospacing="0" w:afterAutospacing="0"/>
        <w:rPr>
          <w:rFonts w:ascii="Times New Roman" w:hAnsi="Times New Roman" w:eastAsia="仿宋_GB2312"/>
          <w:sz w:val="32"/>
          <w:szCs w:val="32"/>
          <w:highlight w:val="yellow"/>
        </w:rPr>
      </w:pPr>
      <w:r>
        <w:rPr>
          <w:rFonts w:ascii="Times New Roman" w:hAnsi="Times New Roman" w:eastAsia="Arial"/>
          <w:color w:val="333333"/>
          <w:sz w:val="19"/>
          <w:szCs w:val="19"/>
          <w:shd w:val="clear" w:color="auto" w:fill="FFFFFF"/>
        </w:rPr>
        <w:t> </w:t>
      </w: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本部门202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年度政府采购支出总额963.76万元，从采购类型来看，政府采购货物支出147.85万元、政府采购工程支出620.91万元、政府采购服务支出195万元。授予中小企业</w:t>
      </w:r>
      <w:r>
        <w:rPr>
          <w:rFonts w:ascii="Times New Roman" w:hAnsi="Times New Roman" w:eastAsia="仿宋_GB2312"/>
          <w:kern w:val="2"/>
          <w:sz w:val="32"/>
          <w:szCs w:val="32"/>
        </w:rPr>
        <w:t>合同金额</w:t>
      </w:r>
      <w:r>
        <w:rPr>
          <w:rFonts w:ascii="Times New Roman" w:hAnsi="Times New Roman" w:eastAsia="仿宋_GB2312"/>
          <w:kern w:val="2"/>
          <w:sz w:val="32"/>
          <w:szCs w:val="32"/>
          <w:lang w:val="zh-CN"/>
        </w:rPr>
        <w:t>768.76万元，占政府采购支出总额的79.77%，其中授予小微企业合同金额768.76万元，占政府采购支出总额的79.77%。</w:t>
      </w:r>
    </w:p>
    <w:p>
      <w:pPr>
        <w:snapToGrid w:val="0"/>
        <w:spacing w:line="580" w:lineRule="exact"/>
        <w:ind w:firstLine="660" w:firstLineChars="200"/>
        <w:jc w:val="left"/>
        <w:rPr>
          <w:rFonts w:ascii="Times New Roman" w:hAnsi="Times New Roman" w:eastAsia="仿宋_GB2312" w:cs="Times New Roman"/>
          <w:sz w:val="32"/>
          <w:szCs w:val="32"/>
          <w:highlight w:val="yellow"/>
        </w:rPr>
      </w:pPr>
      <w:r>
        <w:rPr>
          <w:rFonts w:ascii="Times New Roman" w:hAnsi="Times New Roman" w:eastAsia="黑体" w:cs="Times New Roman"/>
          <w:color w:val="333333"/>
          <w:sz w:val="33"/>
          <w:szCs w:val="33"/>
          <w:shd w:val="clear" w:color="auto" w:fill="FFFFFF"/>
        </w:rPr>
        <w:t>八、</w:t>
      </w:r>
      <w:r>
        <w:rPr>
          <w:rFonts w:ascii="Times New Roman" w:hAnsi="Times New Roman" w:eastAsia="黑体" w:cs="Times New Roman"/>
          <w:sz w:val="32"/>
          <w:szCs w:val="32"/>
        </w:rPr>
        <w:t>国有资产占用情况说明</w:t>
      </w:r>
    </w:p>
    <w:p>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 xml:space="preserve"> 截至2023年12月31日，</w:t>
      </w:r>
      <w:r>
        <w:rPr>
          <w:rFonts w:hint="eastAsia" w:ascii="Times New Roman" w:hAnsi="Times New Roman" w:eastAsia="仿宋_GB2312"/>
          <w:kern w:val="2"/>
          <w:sz w:val="32"/>
          <w:szCs w:val="32"/>
          <w:lang w:val="zh-CN"/>
        </w:rPr>
        <w:t>本部门共有车辆3辆</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与</w:t>
      </w:r>
      <w:r>
        <w:rPr>
          <w:rFonts w:ascii="Times New Roman" w:hAnsi="Times New Roman" w:eastAsia="仿宋_GB2312"/>
          <w:kern w:val="2"/>
          <w:sz w:val="32"/>
          <w:szCs w:val="32"/>
          <w:lang w:val="zh-CN"/>
        </w:rPr>
        <w:t>上年</w:t>
      </w:r>
      <w:r>
        <w:rPr>
          <w:rFonts w:hint="eastAsia" w:ascii="Times New Roman" w:hAnsi="Times New Roman" w:eastAsia="仿宋_GB2312"/>
          <w:kern w:val="2"/>
          <w:sz w:val="32"/>
          <w:szCs w:val="32"/>
          <w:lang w:val="zh-CN"/>
        </w:rPr>
        <w:t>持平。</w:t>
      </w:r>
      <w:r>
        <w:rPr>
          <w:rFonts w:ascii="Times New Roman" w:hAnsi="Times New Roman" w:eastAsia="仿宋_GB2312"/>
          <w:kern w:val="2"/>
          <w:sz w:val="32"/>
          <w:szCs w:val="32"/>
          <w:lang w:val="zh-CN"/>
        </w:rPr>
        <w:t>其中，副部（省）级及以上领导用车本部门共有车辆0辆，主要负责人用车0辆，机要通信用车0辆，应急保障用车0辆，执法执勤用车0辆，特种专业技术用车0辆，离退休干部用车0辆，其他用车</w:t>
      </w:r>
      <w:r>
        <w:rPr>
          <w:rFonts w:hint="eastAsia" w:ascii="Times New Roman" w:hAnsi="Times New Roman" w:eastAsia="仿宋_GB2312"/>
          <w:kern w:val="2"/>
          <w:sz w:val="32"/>
          <w:szCs w:val="32"/>
          <w:lang w:val="en-US" w:eastAsia="zh-CN"/>
        </w:rPr>
        <w:t>3</w:t>
      </w:r>
      <w:r>
        <w:rPr>
          <w:rFonts w:ascii="Times New Roman" w:hAnsi="Times New Roman" w:eastAsia="仿宋_GB2312"/>
          <w:kern w:val="2"/>
          <w:sz w:val="32"/>
          <w:szCs w:val="32"/>
          <w:lang w:val="zh-CN"/>
        </w:rPr>
        <w:t>辆，</w:t>
      </w:r>
      <w:r>
        <w:rPr>
          <w:rFonts w:hint="eastAsia" w:ascii="Times New Roman" w:hAnsi="Times New Roman" w:eastAsia="仿宋_GB2312"/>
          <w:kern w:val="2"/>
          <w:sz w:val="32"/>
          <w:szCs w:val="32"/>
          <w:lang w:val="zh-CN"/>
        </w:rPr>
        <w:t>其他用车主要是水务综合服务中心河道巡查用车和水政水资源综合服务站车辆</w:t>
      </w:r>
      <w:r>
        <w:rPr>
          <w:rFonts w:ascii="Times New Roman" w:hAnsi="Times New Roman" w:eastAsia="仿宋_GB2312"/>
          <w:kern w:val="2"/>
          <w:sz w:val="32"/>
          <w:szCs w:val="32"/>
          <w:lang w:val="zh-CN"/>
        </w:rPr>
        <w:t>。</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部门</w:t>
      </w:r>
      <w:r>
        <w:rPr>
          <w:rFonts w:ascii="Times New Roman" w:hAnsi="Times New Roman" w:eastAsia="仿宋_GB2312"/>
          <w:kern w:val="2"/>
          <w:sz w:val="32"/>
          <w:szCs w:val="32"/>
          <w:lang w:val="zh-CN"/>
        </w:rPr>
        <w:t>价值100万元（含）以上设备（不含车辆）0台（套）</w:t>
      </w:r>
      <w:r>
        <w:rPr>
          <w:rFonts w:hint="eastAsia" w:ascii="Times New Roman" w:hAnsi="Times New Roman" w:eastAsia="仿宋_GB2312"/>
          <w:kern w:val="2"/>
          <w:sz w:val="32"/>
          <w:szCs w:val="32"/>
          <w:lang w:val="zh-CN"/>
        </w:rPr>
        <w:t>与上年持平</w:t>
      </w:r>
      <w:r>
        <w:rPr>
          <w:rFonts w:ascii="Times New Roman" w:hAnsi="Times New Roman" w:eastAsia="仿宋_GB2312"/>
          <w:kern w:val="2"/>
          <w:sz w:val="32"/>
          <w:szCs w:val="32"/>
          <w:lang w:val="zh-CN"/>
        </w:rPr>
        <w:t>。</w:t>
      </w:r>
    </w:p>
    <w:p>
      <w:pPr>
        <w:pStyle w:val="10"/>
        <w:widowControl/>
        <w:spacing w:beforeAutospacing="0" w:afterAutospacing="0"/>
        <w:ind w:firstLine="640" w:firstLineChars="200"/>
        <w:jc w:val="both"/>
        <w:outlineLvl w:val="1"/>
        <w:rPr>
          <w:rFonts w:ascii="Times New Roman" w:hAnsi="Times New Roman" w:eastAsia="黑体"/>
          <w:kern w:val="2"/>
          <w:sz w:val="32"/>
          <w:szCs w:val="40"/>
        </w:rPr>
      </w:pPr>
      <w:r>
        <w:rPr>
          <w:rFonts w:ascii="Times New Roman" w:hAnsi="Times New Roman" w:eastAsia="黑体"/>
          <w:kern w:val="2"/>
          <w:sz w:val="32"/>
          <w:szCs w:val="40"/>
        </w:rPr>
        <w:t>九、预算绩效情况说明</w:t>
      </w: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（一）预算绩效管理工作开展情况</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根据预算绩效管理要求，本部门组织对2023年度一般公共预算项目支出全面开展绩效自评，其中，一级项目</w:t>
      </w:r>
      <w:r>
        <w:rPr>
          <w:rFonts w:hint="eastAsia" w:ascii="Times New Roman" w:hAnsi="Times New Roman" w:eastAsia="仿宋_GB2312"/>
          <w:kern w:val="2"/>
          <w:sz w:val="32"/>
          <w:szCs w:val="32"/>
          <w:lang w:val="en-US" w:eastAsia="zh-CN"/>
        </w:rPr>
        <w:t>4</w:t>
      </w:r>
      <w:r>
        <w:rPr>
          <w:rFonts w:ascii="Times New Roman" w:hAnsi="Times New Roman" w:eastAsia="仿宋_GB2312"/>
          <w:kern w:val="2"/>
          <w:sz w:val="32"/>
          <w:szCs w:val="32"/>
          <w:lang w:val="zh-CN"/>
        </w:rPr>
        <w:t>个，二级项目</w:t>
      </w:r>
      <w:r>
        <w:rPr>
          <w:rFonts w:hint="eastAsia" w:ascii="Times New Roman" w:hAnsi="Times New Roman" w:eastAsia="仿宋_GB2312"/>
          <w:kern w:val="2"/>
          <w:sz w:val="32"/>
          <w:szCs w:val="32"/>
          <w:lang w:val="en-US" w:eastAsia="zh-CN"/>
        </w:rPr>
        <w:t>15</w:t>
      </w:r>
      <w:r>
        <w:rPr>
          <w:rFonts w:ascii="Times New Roman" w:hAnsi="Times New Roman" w:eastAsia="仿宋_GB2312"/>
          <w:kern w:val="2"/>
          <w:sz w:val="32"/>
          <w:szCs w:val="32"/>
          <w:lang w:val="zh-CN"/>
        </w:rPr>
        <w:t>个，共涉及资金</w:t>
      </w:r>
      <w:r>
        <w:rPr>
          <w:rFonts w:hint="eastAsia" w:ascii="Times New Roman" w:hAnsi="Times New Roman" w:eastAsia="仿宋_GB2312"/>
          <w:kern w:val="2"/>
          <w:sz w:val="32"/>
          <w:szCs w:val="32"/>
          <w:lang w:val="en-US" w:eastAsia="zh-CN"/>
        </w:rPr>
        <w:t>3099.72</w:t>
      </w:r>
      <w:r>
        <w:rPr>
          <w:rFonts w:ascii="Times New Roman" w:hAnsi="Times New Roman" w:eastAsia="仿宋_GB2312"/>
          <w:kern w:val="2"/>
          <w:sz w:val="32"/>
          <w:szCs w:val="32"/>
          <w:lang w:val="zh-CN"/>
        </w:rPr>
        <w:t>万元，占一般公共预算项目支出总额的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%。组织对2023年度</w:t>
      </w:r>
      <w:r>
        <w:rPr>
          <w:rFonts w:hint="eastAsia" w:ascii="Times New Roman" w:hAnsi="Times New Roman" w:eastAsia="仿宋_GB2312"/>
          <w:kern w:val="2"/>
          <w:sz w:val="32"/>
          <w:szCs w:val="32"/>
          <w:lang w:val="zh-CN"/>
        </w:rPr>
        <w:t>基础设施建设和经济发展</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大中型水库移民后期扶持基金支出</w:t>
      </w:r>
      <w:r>
        <w:rPr>
          <w:rFonts w:hint="eastAsia" w:ascii="Times New Roman" w:hAnsi="Times New Roman" w:eastAsia="仿宋_GB2312"/>
          <w:kern w:val="2"/>
          <w:sz w:val="32"/>
          <w:szCs w:val="32"/>
          <w:lang w:val="zh-CN" w:eastAsia="zh-CN"/>
        </w:rPr>
        <w:t>、</w:t>
      </w:r>
      <w:r>
        <w:rPr>
          <w:rFonts w:hint="eastAsia" w:ascii="Times New Roman" w:hAnsi="Times New Roman" w:eastAsia="仿宋_GB2312"/>
          <w:kern w:val="2"/>
          <w:sz w:val="32"/>
          <w:szCs w:val="32"/>
          <w:lang w:val="zh-CN"/>
        </w:rPr>
        <w:t>移民补助</w:t>
      </w:r>
      <w:r>
        <w:rPr>
          <w:rFonts w:ascii="Times New Roman" w:hAnsi="Times New Roman" w:eastAsia="仿宋_GB2312"/>
          <w:kern w:val="2"/>
          <w:sz w:val="32"/>
          <w:szCs w:val="32"/>
          <w:lang w:val="zh-CN"/>
        </w:rPr>
        <w:t>等</w:t>
      </w:r>
      <w:r>
        <w:rPr>
          <w:rFonts w:hint="eastAsia" w:ascii="Times New Roman" w:hAnsi="Times New Roman" w:eastAsia="仿宋_GB2312"/>
          <w:kern w:val="2"/>
          <w:sz w:val="32"/>
          <w:szCs w:val="32"/>
          <w:lang w:val="en-US" w:eastAsia="zh-CN"/>
        </w:rPr>
        <w:t>9</w:t>
      </w:r>
      <w:r>
        <w:rPr>
          <w:rFonts w:ascii="Times New Roman" w:hAnsi="Times New Roman" w:eastAsia="仿宋_GB2312"/>
          <w:kern w:val="2"/>
          <w:sz w:val="32"/>
          <w:szCs w:val="32"/>
          <w:lang w:val="zh-CN"/>
        </w:rPr>
        <w:t>个政府性基金预算项目支出开展绩效自评，共涉及资金</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万元，占政府性基金预算项目支出总额的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w:t>
      </w:r>
    </w:p>
    <w:p>
      <w:pPr>
        <w:pStyle w:val="10"/>
        <w:widowControl/>
        <w:spacing w:beforeAutospacing="0" w:afterAutospacing="0"/>
        <w:ind w:firstLine="640" w:firstLineChars="200"/>
        <w:rPr>
          <w:rFonts w:hint="eastAsia" w:ascii="Times New Roman" w:hAnsi="Times New Roman" w:eastAsia="仿宋_GB2312"/>
          <w:kern w:val="2"/>
          <w:sz w:val="32"/>
          <w:szCs w:val="32"/>
          <w:lang w:val="zh-CN"/>
        </w:rPr>
      </w:pPr>
      <w:r>
        <w:rPr>
          <w:rFonts w:ascii="Times New Roman" w:hAnsi="Times New Roman" w:eastAsia="仿宋_GB2312"/>
          <w:kern w:val="2"/>
          <w:sz w:val="32"/>
          <w:szCs w:val="32"/>
          <w:lang w:val="zh-CN"/>
        </w:rPr>
        <w:t>组织对“</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”等</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lang w:val="zh-CN"/>
        </w:rPr>
        <w:t>个项目开展了部门评价，涉及政府性基金预算支出</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万元。从评价情况来看，“</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总结本市绩效自评得分98分，整体执行情况已完成年度绩效目标情况较好。</w:t>
      </w: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（二）部门决算中项目绩效自评结果</w:t>
      </w:r>
    </w:p>
    <w:p>
      <w:pPr>
        <w:pStyle w:val="10"/>
        <w:widowControl/>
        <w:spacing w:beforeAutospacing="0" w:afterAutospacing="0"/>
        <w:ind w:firstLine="660" w:firstLineChars="200"/>
        <w:rPr>
          <w:rFonts w:ascii="Times New Roman" w:hAnsi="Times New Roman" w:eastAsia="仿宋_GB2312"/>
          <w:kern w:val="2"/>
          <w:sz w:val="32"/>
          <w:szCs w:val="32"/>
          <w:lang w:val="zh-CN"/>
        </w:rPr>
      </w:pPr>
      <w:r>
        <w:rPr>
          <w:rFonts w:ascii="Times New Roman" w:hAnsi="Times New Roman" w:eastAsia="仿宋_GB2312"/>
          <w:color w:val="333333"/>
          <w:sz w:val="33"/>
          <w:szCs w:val="33"/>
          <w:shd w:val="clear" w:color="auto" w:fill="FFFFFF"/>
        </w:rPr>
        <w:t> </w:t>
      </w:r>
      <w:r>
        <w:rPr>
          <w:rFonts w:ascii="Times New Roman" w:hAnsi="Times New Roman" w:eastAsia="仿宋_GB2312"/>
          <w:kern w:val="2"/>
          <w:sz w:val="32"/>
          <w:szCs w:val="32"/>
          <w:lang w:val="zh-CN"/>
        </w:rPr>
        <w:t xml:space="preserve">本部门在今年部门决算公开中反映 </w:t>
      </w:r>
      <w:r>
        <w:rPr>
          <w:rFonts w:hint="eastAsia" w:ascii="Times New Roman" w:hAnsi="Times New Roman" w:eastAsia="仿宋_GB2312"/>
          <w:kern w:val="2"/>
          <w:sz w:val="32"/>
          <w:szCs w:val="32"/>
          <w:lang w:val="zh-CN"/>
        </w:rPr>
        <w:t>“社会保障和就业支出”</w:t>
      </w:r>
      <w:r>
        <w:rPr>
          <w:rFonts w:hint="eastAsia" w:ascii="Times New Roman" w:hAnsi="Times New Roman" w:eastAsia="仿宋_GB2312"/>
          <w:kern w:val="2"/>
          <w:sz w:val="32"/>
          <w:szCs w:val="32"/>
          <w:lang w:val="en-US" w:eastAsia="zh-CN"/>
        </w:rPr>
        <w:t>1</w:t>
      </w:r>
      <w:r>
        <w:rPr>
          <w:rFonts w:ascii="Times New Roman" w:hAnsi="Times New Roman" w:eastAsia="仿宋_GB2312"/>
          <w:kern w:val="2"/>
          <w:sz w:val="32"/>
          <w:szCs w:val="32"/>
          <w:lang w:val="zh-CN"/>
        </w:rPr>
        <w:t>个项目绩效自评结果。</w:t>
      </w:r>
    </w:p>
    <w:p>
      <w:pPr>
        <w:ind w:firstLine="640" w:firstLineChars="200"/>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“社会保障和就业支出”</w:t>
      </w:r>
      <w:r>
        <w:rPr>
          <w:rFonts w:ascii="Times New Roman" w:hAnsi="Times New Roman" w:eastAsia="仿宋_GB2312"/>
          <w:kern w:val="2"/>
          <w:sz w:val="32"/>
          <w:szCs w:val="32"/>
          <w:lang w:val="zh-CN"/>
        </w:rPr>
        <w:t>项目绩效自评情况：根据年初设定的绩效目标，</w:t>
      </w:r>
      <w:r>
        <w:rPr>
          <w:rFonts w:hint="eastAsia" w:ascii="Times New Roman" w:hAnsi="Times New Roman" w:eastAsia="仿宋_GB2312"/>
          <w:kern w:val="2"/>
          <w:sz w:val="32"/>
          <w:szCs w:val="32"/>
          <w:lang w:val="zh-CN"/>
        </w:rPr>
        <w:t>社会保障和就业支出”</w:t>
      </w:r>
      <w:r>
        <w:rPr>
          <w:rFonts w:ascii="Times New Roman" w:hAnsi="Times New Roman" w:eastAsia="仿宋_GB2312"/>
          <w:kern w:val="2"/>
          <w:sz w:val="32"/>
          <w:szCs w:val="32"/>
          <w:lang w:val="zh-CN"/>
        </w:rPr>
        <w:t>项目绩效自评得分为</w:t>
      </w:r>
      <w:r>
        <w:rPr>
          <w:rFonts w:hint="eastAsia" w:ascii="Times New Roman" w:hAnsi="Times New Roman" w:eastAsia="仿宋_GB2312"/>
          <w:kern w:val="2"/>
          <w:sz w:val="32"/>
          <w:szCs w:val="32"/>
          <w:lang w:val="en-US" w:eastAsia="zh-CN"/>
        </w:rPr>
        <w:t>98</w:t>
      </w:r>
      <w:r>
        <w:rPr>
          <w:rFonts w:ascii="Times New Roman" w:hAnsi="Times New Roman" w:eastAsia="仿宋_GB2312"/>
          <w:kern w:val="2"/>
          <w:sz w:val="32"/>
          <w:szCs w:val="32"/>
          <w:lang w:val="zh-CN"/>
        </w:rPr>
        <w:t>分（绩效自评表附后）。全年预算数为</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万元，执行数为</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万元，完成预算的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%。项目绩效目标完成情况：</w:t>
      </w:r>
      <w:r>
        <w:rPr>
          <w:rFonts w:hint="eastAsia" w:ascii="方正仿宋_GBK" w:eastAsia="方正仿宋_GBK" w:cs="宋体"/>
          <w:color w:val="000000"/>
          <w:sz w:val="32"/>
          <w:szCs w:val="32"/>
        </w:rPr>
        <w:t>通过项目实施，完成了年初设定的各项绩效目标，</w:t>
      </w:r>
      <w:r>
        <w:rPr>
          <w:rFonts w:ascii="Times New Roman" w:hAnsi="Times New Roman" w:eastAsia="仿宋_GB2312"/>
          <w:kern w:val="2"/>
          <w:sz w:val="32"/>
          <w:szCs w:val="32"/>
          <w:lang w:val="zh-CN"/>
        </w:rPr>
        <w:t>一是</w:t>
      </w: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年水库移民后期扶持人口直补资金发放范围为我市朱庄水库及东石岭水库移民，分布在我市129个行政村，对纳入扶持范围的移民每人每年补助600元，本次计划发放6960人，本项目拨付资金</w:t>
      </w:r>
      <w:r>
        <w:rPr>
          <w:rFonts w:hint="eastAsia" w:ascii="方正仿宋_GBK" w:eastAsia="方正仿宋_GBK"/>
          <w:color w:val="000000"/>
          <w:sz w:val="32"/>
          <w:szCs w:val="32"/>
          <w:lang w:val="en-US" w:eastAsia="zh-CN"/>
        </w:rPr>
        <w:t>414.06</w:t>
      </w:r>
      <w:r>
        <w:rPr>
          <w:rFonts w:hint="eastAsia" w:ascii="方正仿宋_GBK" w:eastAsia="方正仿宋_GBK"/>
          <w:color w:val="000000"/>
          <w:sz w:val="32"/>
          <w:szCs w:val="32"/>
        </w:rPr>
        <w:t>万元</w:t>
      </w:r>
      <w:r>
        <w:rPr>
          <w:rFonts w:ascii="Times New Roman" w:hAnsi="Times New Roman" w:eastAsia="仿宋_GB2312"/>
          <w:kern w:val="2"/>
          <w:sz w:val="32"/>
          <w:szCs w:val="32"/>
          <w:lang w:val="zh-CN"/>
        </w:rPr>
        <w:t>；二是</w:t>
      </w:r>
      <w:r>
        <w:rPr>
          <w:rFonts w:hint="eastAsia" w:ascii="仿宋_gb2312" w:hAnsi="仿宋_gb2312" w:eastAsia="仿宋_gb2312" w:cs="仿宋_gb2312"/>
          <w:b w:val="0"/>
          <w:bCs w:val="0"/>
          <w:color w:val="auto"/>
          <w:sz w:val="32"/>
          <w:szCs w:val="32"/>
          <w:lang w:val="en-US" w:eastAsia="zh-CN"/>
        </w:rPr>
        <w:t>生产开发类项目1个、美丽家园建设类项目6个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lang w:val="en-US" w:eastAsia="zh-CN"/>
        </w:rPr>
        <w:t>分别为：蝉房乡西寨村板栗种植工程；赞善办侯峪村道路改造工程、新石岭村加铺沥青面层工程；新城镇西石岭村街道硬化工程；褡裢办东升村加铺沥青面层工程；綦村镇朱庄村街道硬化工程。</w:t>
      </w:r>
      <w:r>
        <w:rPr>
          <w:rFonts w:hint="eastAsia" w:ascii="仿宋_gb2312" w:hAnsi="仿宋_gb2312" w:eastAsia="仿宋_gb2312" w:cs="仿宋_gb2312"/>
          <w:color w:val="auto"/>
          <w:sz w:val="32"/>
          <w:vertAlign w:val="baseline"/>
          <w:lang w:val="en-US" w:eastAsia="zh-CN"/>
        </w:rPr>
        <w:t>共计</w:t>
      </w:r>
      <w:r>
        <w:rPr>
          <w:rFonts w:hint="eastAsia" w:ascii="仿宋_gb2312" w:hAnsi="仿宋_gb2312" w:eastAsia="仿宋_gb2312" w:cs="仿宋_gb2312"/>
          <w:color w:val="auto"/>
          <w:sz w:val="32"/>
          <w:lang w:val="en-US" w:eastAsia="zh-CN"/>
        </w:rPr>
        <w:t>种植板栗树80亩、2800株；加铺沥青面层15931.24㎡、建浆砌石路肩189.6m³；硬化街道13125.5㎡。三是</w:t>
      </w:r>
      <w:r>
        <w:rPr>
          <w:rFonts w:hint="eastAsia" w:ascii="方正仿宋_GBK" w:eastAsia="方正仿宋_GBK"/>
          <w:color w:val="000000"/>
          <w:sz w:val="32"/>
          <w:szCs w:val="32"/>
        </w:rPr>
        <w:t>建设鱼塘一座、果园灌溉400亩、铺设上下水管网12000米，铺设沥青道路21000㎡，</w:t>
      </w:r>
      <w:r>
        <w:rPr>
          <w:rFonts w:hint="eastAsia" w:ascii="仿宋_gb2312" w:hAnsi="仿宋_gb2312" w:eastAsia="仿宋_gb2312" w:cs="仿宋_gb2312"/>
          <w:color w:val="auto"/>
          <w:sz w:val="32"/>
          <w:lang w:val="en-US" w:eastAsia="zh-CN"/>
        </w:rPr>
        <w:t>项目完成后，方便群众出行、美化村容村貌、促进移民增产增收，受益群众5000余人。在绩效评价过程中</w:t>
      </w:r>
      <w:r>
        <w:rPr>
          <w:rFonts w:hint="eastAsia" w:ascii="Times New Roman" w:hAnsi="Times New Roman" w:eastAsia="仿宋_GB2312"/>
          <w:kern w:val="2"/>
          <w:sz w:val="32"/>
          <w:szCs w:val="32"/>
          <w:lang w:val="zh-CN"/>
        </w:rPr>
        <w:t>未发现问题。</w:t>
      </w:r>
    </w:p>
    <w:p>
      <w:pPr>
        <w:rPr>
          <w:rFonts w:hint="eastAsia" w:ascii="Times New Roman" w:hAnsi="Times New Roman" w:eastAsia="仿宋_GB2312"/>
          <w:kern w:val="2"/>
          <w:sz w:val="32"/>
          <w:szCs w:val="32"/>
          <w:lang w:val="zh-CN"/>
        </w:rPr>
      </w:pPr>
    </w:p>
    <w:tbl>
      <w:tblPr>
        <w:tblStyle w:val="11"/>
        <w:tblW w:w="9480" w:type="dxa"/>
        <w:tblInd w:w="93" w:type="dxa"/>
        <w:tblLayout w:type="autofit"/>
        <w:tblCellMar>
          <w:top w:w="0" w:type="dxa"/>
          <w:left w:w="108" w:type="dxa"/>
          <w:bottom w:w="0" w:type="dxa"/>
          <w:right w:w="108" w:type="dxa"/>
        </w:tblCellMar>
      </w:tblPr>
      <w:tblGrid>
        <w:gridCol w:w="1080"/>
        <w:gridCol w:w="1080"/>
        <w:gridCol w:w="1080"/>
        <w:gridCol w:w="1080"/>
        <w:gridCol w:w="1260"/>
        <w:gridCol w:w="1600"/>
        <w:gridCol w:w="1140"/>
        <w:gridCol w:w="1160"/>
      </w:tblGrid>
      <w:tr>
        <w:tblPrEx>
          <w:tblCellMar>
            <w:top w:w="0" w:type="dxa"/>
            <w:left w:w="108" w:type="dxa"/>
            <w:bottom w:w="0" w:type="dxa"/>
            <w:right w:w="108" w:type="dxa"/>
          </w:tblCellMar>
        </w:tblPrEx>
        <w:trPr>
          <w:trHeight w:val="420" w:hRule="atLeast"/>
        </w:trPr>
        <w:tc>
          <w:tcPr>
            <w:tcW w:w="9480" w:type="dxa"/>
            <w:gridSpan w:val="8"/>
            <w:tcBorders>
              <w:top w:val="nil"/>
              <w:left w:val="nil"/>
              <w:bottom w:val="nil"/>
              <w:right w:val="nil"/>
            </w:tcBorders>
            <w:shd w:val="clear" w:color="auto" w:fill="auto"/>
            <w:noWrap/>
            <w:vAlign w:val="bottom"/>
          </w:tcPr>
          <w:p>
            <w:pPr>
              <w:jc w:val="center"/>
              <w:rPr>
                <w:rFonts w:ascii="方正小标宋_GBK" w:hAnsi="宋体" w:eastAsia="方正小标宋_GBK" w:cs="宋体"/>
                <w:color w:val="000000"/>
                <w:sz w:val="40"/>
                <w:szCs w:val="40"/>
              </w:rPr>
            </w:pPr>
            <w:r>
              <w:rPr>
                <w:rFonts w:hint="eastAsia" w:ascii="方正小标宋_GBK" w:hAnsi="宋体" w:eastAsia="方正小标宋_GBK" w:cs="宋体"/>
                <w:color w:val="000000"/>
                <w:sz w:val="40"/>
                <w:szCs w:val="40"/>
              </w:rPr>
              <w:t>市级部门专项资金和预算项目资金绩效监控情况表</w:t>
            </w:r>
          </w:p>
        </w:tc>
      </w:tr>
      <w:tr>
        <w:tblPrEx>
          <w:tblCellMar>
            <w:top w:w="0" w:type="dxa"/>
            <w:left w:w="108" w:type="dxa"/>
            <w:bottom w:w="0" w:type="dxa"/>
            <w:right w:w="108" w:type="dxa"/>
          </w:tblCellMar>
        </w:tblPrEx>
        <w:trPr>
          <w:trHeight w:val="360" w:hRule="atLeast"/>
        </w:trPr>
        <w:tc>
          <w:tcPr>
            <w:tcW w:w="3240" w:type="dxa"/>
            <w:gridSpan w:val="3"/>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填报</w:t>
            </w:r>
            <w:r>
              <w:rPr>
                <w:rFonts w:hint="eastAsia" w:ascii="宋体" w:hAnsi="宋体" w:cs="宋体"/>
                <w:color w:val="000000"/>
                <w:sz w:val="16"/>
                <w:szCs w:val="16"/>
                <w:lang w:eastAsia="zh-CN"/>
              </w:rPr>
              <w:t>部门</w:t>
            </w:r>
            <w:r>
              <w:rPr>
                <w:rFonts w:hint="eastAsia" w:ascii="宋体" w:hAnsi="宋体" w:cs="宋体"/>
                <w:color w:val="000000"/>
                <w:sz w:val="16"/>
                <w:szCs w:val="16"/>
              </w:rPr>
              <w:t>：沙河市水务局</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金额单位：万元</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一、</w:t>
            </w:r>
            <w:r>
              <w:rPr>
                <w:rFonts w:ascii="Calibri" w:hAnsi="Calibri" w:cs="宋体"/>
                <w:color w:val="000000"/>
                <w:sz w:val="16"/>
                <w:szCs w:val="16"/>
              </w:rPr>
              <w:t> </w:t>
            </w:r>
            <w:r>
              <w:rPr>
                <w:rFonts w:hint="eastAsia" w:ascii="宋体" w:hAnsi="宋体" w:cs="宋体"/>
                <w:color w:val="00000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部门单位名称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沙河市水务局</w:t>
            </w:r>
          </w:p>
        </w:tc>
        <w:tc>
          <w:tcPr>
            <w:tcW w:w="126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专项资金（项目）周期</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w:t>
            </w:r>
          </w:p>
        </w:tc>
      </w:tr>
      <w:tr>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lang w:val="zh-CN"/>
              </w:rPr>
              <w:t>社会保障和就业支出</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监控时点</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年12月</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预算安排情况（调整后）</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资金到位情况</w:t>
            </w:r>
          </w:p>
        </w:tc>
        <w:tc>
          <w:tcPr>
            <w:tcW w:w="27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资金执行情况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预算执行率</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预算数：</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860.52</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到位数：</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860.52</w:t>
            </w:r>
          </w:p>
        </w:tc>
        <w:tc>
          <w:tcPr>
            <w:tcW w:w="160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执行数：</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860.52</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860.52</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其中：财政资金</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860.52</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860.52</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ascii="Calibri" w:hAnsi="Calibri" w:cs="宋体"/>
                <w:color w:val="000000"/>
                <w:sz w:val="21"/>
                <w:szCs w:val="21"/>
              </w:rPr>
              <w:t>0</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其他</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三、目标完成情况</w:t>
            </w:r>
          </w:p>
        </w:tc>
        <w:tc>
          <w:tcPr>
            <w:tcW w:w="324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年度预期目标</w:t>
            </w:r>
          </w:p>
        </w:tc>
        <w:tc>
          <w:tcPr>
            <w:tcW w:w="40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目前完成情况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总体完成率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zh-CN" w:eastAsia="zh-CN"/>
              </w:rPr>
              <w:t>一是</w:t>
            </w:r>
            <w:r>
              <w:rPr>
                <w:rFonts w:hint="eastAsia" w:ascii="宋体" w:hAnsi="宋体" w:cs="宋体"/>
                <w:color w:val="000000"/>
                <w:sz w:val="16"/>
                <w:szCs w:val="16"/>
                <w:lang w:val="en-US" w:eastAsia="zh-CN"/>
              </w:rPr>
              <w:t>2023年水库移民后期扶持人口直补资金发放范围为我市朱庄水库及东石岭水库移民，分布在我市129个行政村，对纳入扶持范围的移民每人每年补助600元，本次计划发放6960人，本项目拨付资金414.06万元</w:t>
            </w:r>
            <w:r>
              <w:rPr>
                <w:rFonts w:hint="eastAsia" w:ascii="宋体" w:hAnsi="宋体" w:cs="宋体"/>
                <w:color w:val="000000"/>
                <w:sz w:val="16"/>
                <w:szCs w:val="16"/>
                <w:lang w:val="zh-CN" w:eastAsia="zh-CN"/>
              </w:rPr>
              <w:t>；二是</w:t>
            </w: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共计种植板栗树80亩、2800株；加铺沥青面层15931.24㎡、建浆砌石路肩189.6m³；硬化街道13125.5㎡。三是建设鱼塘一座、果园灌溉400亩、铺设上下水管网12000米，铺设沥青道路21000㎡</w:t>
            </w:r>
          </w:p>
        </w:tc>
        <w:tc>
          <w:tcPr>
            <w:tcW w:w="40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宋体" w:hAnsi="宋体" w:cs="宋体"/>
                <w:color w:val="0000FF"/>
                <w:sz w:val="16"/>
                <w:szCs w:val="16"/>
                <w:lang w:val="en-US"/>
              </w:rPr>
            </w:pPr>
            <w:r>
              <w:rPr>
                <w:rFonts w:hint="eastAsia" w:ascii="宋体" w:hAnsi="宋体" w:cs="宋体"/>
                <w:color w:val="000000"/>
                <w:sz w:val="16"/>
                <w:szCs w:val="16"/>
                <w:lang w:val="zh-CN" w:eastAsia="zh-CN"/>
              </w:rPr>
              <w:t>一是</w:t>
            </w:r>
            <w:r>
              <w:rPr>
                <w:rFonts w:hint="eastAsia" w:ascii="宋体" w:hAnsi="宋体" w:cs="宋体"/>
                <w:color w:val="000000"/>
                <w:sz w:val="16"/>
                <w:szCs w:val="16"/>
                <w:lang w:val="en-US" w:eastAsia="zh-CN"/>
              </w:rPr>
              <w:t>2023年水库移民后期扶持人口直补资金发放范围为我市朱庄水库及东石岭水库移民，分布在我市129个行政村，对纳入扶持范围的移民每人每年补助600元，本次计划发放6960人，本项目拨付资金414.06万元</w:t>
            </w:r>
            <w:r>
              <w:rPr>
                <w:rFonts w:hint="eastAsia" w:ascii="宋体" w:hAnsi="宋体" w:cs="宋体"/>
                <w:color w:val="000000"/>
                <w:sz w:val="16"/>
                <w:szCs w:val="16"/>
                <w:lang w:val="zh-CN" w:eastAsia="zh-CN"/>
              </w:rPr>
              <w:t>；二是</w:t>
            </w: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共计种植板栗树80亩、2800株；加铺沥青面层15931.24㎡、建浆砌石路肩189.6m³；硬化街道13125.5㎡。三是建设鱼塘一座、果园灌溉400亩、铺设上下水管网12000米，铺设沥青道路21000㎡，项目完成后，方便群众出行、美化村容村貌、促进移民增产增收，受益群众5000余人。</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8"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四、</w:t>
            </w:r>
            <w:r>
              <w:rPr>
                <w:rFonts w:ascii="Calibri" w:hAnsi="Calibri" w:cs="宋体"/>
                <w:color w:val="000000"/>
                <w:sz w:val="16"/>
                <w:szCs w:val="16"/>
              </w:rPr>
              <w:t> </w:t>
            </w:r>
            <w:r>
              <w:rPr>
                <w:rFonts w:hint="eastAsia" w:ascii="宋体" w:hAnsi="宋体" w:cs="宋体"/>
                <w:color w:val="000000"/>
                <w:sz w:val="16"/>
                <w:szCs w:val="16"/>
              </w:rPr>
              <w:t>年度绩效指标完成情况</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一级指标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二级指标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三级指标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预期指标值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restart"/>
            <w:tcBorders>
              <w:top w:val="nil"/>
              <w:left w:val="single" w:color="000000" w:sz="4" w:space="0"/>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产出指标</w:t>
            </w:r>
          </w:p>
        </w:tc>
        <w:tc>
          <w:tcPr>
            <w:tcW w:w="1080" w:type="dxa"/>
            <w:tcBorders>
              <w:top w:val="nil"/>
              <w:left w:val="nil"/>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数量指标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zh-CN" w:eastAsia="zh-CN"/>
              </w:rPr>
              <w:t>一是</w:t>
            </w:r>
            <w:r>
              <w:rPr>
                <w:rFonts w:hint="eastAsia" w:ascii="宋体" w:hAnsi="宋体" w:cs="宋体"/>
                <w:color w:val="000000"/>
                <w:sz w:val="16"/>
                <w:szCs w:val="16"/>
                <w:lang w:val="en-US" w:eastAsia="zh-CN"/>
              </w:rPr>
              <w:t>2023年水库移民后期扶持人口直补资金发放范围为我市朱庄水库及东石岭水库移民，分布在我市129个行政村，对纳入扶持范围的移民每人每年补助600元，本次计划发放6960人，本项目拨付资金414.06万元</w:t>
            </w:r>
            <w:r>
              <w:rPr>
                <w:rFonts w:hint="eastAsia" w:ascii="宋体" w:hAnsi="宋体" w:cs="宋体"/>
                <w:color w:val="000000"/>
                <w:sz w:val="16"/>
                <w:szCs w:val="16"/>
                <w:lang w:val="zh-CN" w:eastAsia="zh-CN"/>
              </w:rPr>
              <w:t>；二是</w:t>
            </w: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共计种植板栗树80亩、2800株；加铺沥青面层15931.24㎡、建浆砌石路肩189.6m³；硬化街道13125.5㎡。三是建设鱼塘一座、果园灌溉400亩、铺设上下水管网12000米，铺设沥青道路21000㎡。</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zh-CN" w:eastAsia="zh-CN"/>
              </w:rPr>
              <w:t>是</w:t>
            </w:r>
            <w:r>
              <w:rPr>
                <w:rFonts w:hint="eastAsia" w:ascii="宋体" w:hAnsi="宋体" w:cs="宋体"/>
                <w:color w:val="000000"/>
                <w:sz w:val="16"/>
                <w:szCs w:val="16"/>
                <w:lang w:val="en-US" w:eastAsia="zh-CN"/>
              </w:rPr>
              <w:t>2023年水库移民后期扶持人口直补资金发放范围为我市朱庄水库及东石岭水库移民，分布在我市129个行政村，对纳入扶持范围的移民每人每年补助600元，本次计划发放6960人，本项目拨付资金414.06万元</w:t>
            </w:r>
            <w:r>
              <w:rPr>
                <w:rFonts w:hint="eastAsia" w:ascii="宋体" w:hAnsi="宋体" w:cs="宋体"/>
                <w:color w:val="000000"/>
                <w:sz w:val="16"/>
                <w:szCs w:val="16"/>
                <w:lang w:val="zh-CN" w:eastAsia="zh-CN"/>
              </w:rPr>
              <w:t>；二是</w:t>
            </w: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共计种植板栗树80亩、2800株；加铺沥青面层15931.24㎡、建浆砌石路肩189.6m³；硬化街道13125.5㎡。三是建设鱼塘一座、果园灌溉400亩、铺设上下水管网12000米，铺设沥青道路21000㎡，项目完成后，方便群众出行、美化村容村貌、促进移民增产增收，受益群众5000余人。</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zh-CN" w:eastAsia="zh-CN"/>
              </w:rPr>
              <w:t>是</w:t>
            </w:r>
            <w:r>
              <w:rPr>
                <w:rFonts w:hint="eastAsia" w:ascii="宋体" w:hAnsi="宋体" w:cs="宋体"/>
                <w:color w:val="000000"/>
                <w:sz w:val="16"/>
                <w:szCs w:val="16"/>
                <w:lang w:val="en-US" w:eastAsia="zh-CN"/>
              </w:rPr>
              <w:t>2023年水库移民后期扶持人口直补资金发放每人每年补助600元，本次计划发放6960人，本项目拨付资金414.06万元</w:t>
            </w:r>
            <w:r>
              <w:rPr>
                <w:rFonts w:hint="eastAsia" w:ascii="宋体" w:hAnsi="宋体" w:cs="宋体"/>
                <w:color w:val="000000"/>
                <w:sz w:val="16"/>
                <w:szCs w:val="16"/>
                <w:lang w:val="zh-CN" w:eastAsia="zh-CN"/>
              </w:rPr>
              <w:t>；二是</w:t>
            </w:r>
            <w:r>
              <w:rPr>
                <w:rFonts w:hint="eastAsia" w:ascii="宋体" w:hAnsi="宋体" w:cs="宋体"/>
                <w:color w:val="000000"/>
                <w:sz w:val="16"/>
                <w:szCs w:val="16"/>
                <w:lang w:val="en-US" w:eastAsia="zh-CN"/>
              </w:rPr>
              <w:t>生产开发类项目1个、美丽家园建设类项目为蝉房乡</w:t>
            </w:r>
            <w:bookmarkStart w:id="0" w:name="_GoBack"/>
            <w:bookmarkEnd w:id="0"/>
            <w:r>
              <w:rPr>
                <w:rFonts w:hint="eastAsia" w:ascii="宋体" w:hAnsi="宋体" w:cs="宋体"/>
                <w:color w:val="000000"/>
                <w:sz w:val="16"/>
                <w:szCs w:val="16"/>
                <w:lang w:val="en-US" w:eastAsia="zh-CN"/>
              </w:rPr>
              <w:t>西寨村板栗种植工程；赞善办侯峪村道路改造工程等6个工程。共计种植板栗树80亩、2800株；加铺沥青面层15931.24㎡、建浆砌石路肩189.6m³；硬化街道13125.5㎡。三是建设鱼塘一座、果园灌溉400亩、铺设上下水管网12000米，铺设沥青道路21000㎡，</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质量指标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时效指标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工程按时完成率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工程按时完成率</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已完成</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成本指标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工程建设成本控制率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控制总成本</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已控制</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auto"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效益指标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社会效益指标</w:t>
            </w:r>
          </w:p>
        </w:tc>
        <w:tc>
          <w:tcPr>
            <w:tcW w:w="2340" w:type="dxa"/>
            <w:gridSpan w:val="2"/>
            <w:tcBorders>
              <w:top w:val="single" w:color="000000" w:sz="4" w:space="0"/>
              <w:left w:val="nil"/>
              <w:bottom w:val="single" w:color="000000" w:sz="4" w:space="0"/>
              <w:right w:val="nil"/>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重点工程完成率</w:t>
            </w:r>
          </w:p>
        </w:tc>
        <w:tc>
          <w:tcPr>
            <w:tcW w:w="1600" w:type="dxa"/>
            <w:tcBorders>
              <w:top w:val="nil"/>
              <w:left w:val="single" w:color="auto" w:sz="4" w:space="0"/>
              <w:bottom w:val="single" w:color="auto" w:sz="4" w:space="0"/>
              <w:right w:val="single" w:color="auto" w:sz="4" w:space="0"/>
            </w:tcBorders>
            <w:shd w:val="clear" w:color="auto" w:fill="auto"/>
            <w:noWrap w:val="0"/>
            <w:vAlign w:val="center"/>
          </w:tcPr>
          <w:p>
            <w:pPr>
              <w:rPr>
                <w:rFonts w:ascii="Arial Unicode MS" w:hAnsi="Arial Unicode MS" w:cs="宋体"/>
                <w:color w:val="000000"/>
                <w:sz w:val="16"/>
                <w:szCs w:val="16"/>
              </w:rPr>
            </w:pPr>
            <w:r>
              <w:rPr>
                <w:rFonts w:ascii="Arial Unicode MS" w:hAnsi="Arial Unicode MS" w:cs="宋体"/>
                <w:color w:val="000000"/>
                <w:sz w:val="16"/>
                <w:szCs w:val="16"/>
              </w:rPr>
              <w:t>　</w:t>
            </w:r>
            <w:r>
              <w:rPr>
                <w:rFonts w:hint="eastAsia" w:ascii="Arial Unicode MS" w:hAnsi="Arial Unicode MS" w:cs="宋体"/>
                <w:color w:val="000000"/>
                <w:sz w:val="16"/>
                <w:szCs w:val="16"/>
              </w:rPr>
              <w:t xml:space="preserve">      ≥95%</w:t>
            </w:r>
          </w:p>
        </w:tc>
        <w:tc>
          <w:tcPr>
            <w:tcW w:w="1140" w:type="dxa"/>
            <w:tcBorders>
              <w:top w:val="nil"/>
              <w:left w:val="nil"/>
              <w:bottom w:val="single" w:color="auto" w:sz="4" w:space="0"/>
              <w:right w:val="single" w:color="auto" w:sz="4" w:space="0"/>
            </w:tcBorders>
            <w:shd w:val="clear" w:color="auto" w:fill="auto"/>
            <w:noWrap w:val="0"/>
            <w:vAlign w:val="center"/>
          </w:tcPr>
          <w:p>
            <w:pPr>
              <w:jc w:val="center"/>
              <w:rPr>
                <w:rFonts w:ascii="Arial Unicode MS" w:hAnsi="Arial Unicode MS" w:cs="宋体"/>
                <w:color w:val="000000"/>
                <w:sz w:val="16"/>
                <w:szCs w:val="16"/>
              </w:rPr>
            </w:pPr>
            <w:r>
              <w:rPr>
                <w:rFonts w:hint="eastAsia" w:ascii="Arial Unicode MS" w:hAnsi="Arial Unicode MS" w:cs="宋体"/>
                <w:color w:val="000000"/>
                <w:sz w:val="16"/>
                <w:szCs w:val="16"/>
              </w:rPr>
              <w:t>≥95%</w:t>
            </w:r>
            <w:r>
              <w:rPr>
                <w:rFonts w:ascii="Arial Unicode MS" w:hAnsi="Arial Unicode MS" w:cs="宋体"/>
                <w:color w:val="000000"/>
                <w:sz w:val="16"/>
                <w:szCs w:val="16"/>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　</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服务对和象满意度</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r>
              <w:rPr>
                <w:rFonts w:ascii="Calibri" w:hAnsi="Calibri" w:cs="宋体"/>
                <w:color w:val="000000"/>
                <w:sz w:val="21"/>
                <w:szCs w:val="21"/>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五、</w:t>
            </w:r>
            <w:r>
              <w:rPr>
                <w:rFonts w:ascii="Calibri" w:hAnsi="Calibri" w:cs="宋体"/>
                <w:color w:val="000000"/>
                <w:sz w:val="16"/>
                <w:szCs w:val="16"/>
              </w:rPr>
              <w:t> </w:t>
            </w:r>
            <w:r>
              <w:rPr>
                <w:rFonts w:hint="eastAsia" w:ascii="宋体" w:hAnsi="宋体" w:cs="宋体"/>
                <w:color w:val="000000"/>
                <w:sz w:val="16"/>
                <w:szCs w:val="16"/>
              </w:rPr>
              <w:t>绩效目标执行出现的偏差和采取的措施</w:t>
            </w:r>
          </w:p>
        </w:tc>
        <w:tc>
          <w:tcPr>
            <w:tcW w:w="8400" w:type="dxa"/>
            <w:gridSpan w:val="7"/>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无偏差</w:t>
            </w:r>
          </w:p>
        </w:tc>
      </w:tr>
      <w:tr>
        <w:tblPrEx>
          <w:tblCellMar>
            <w:top w:w="0" w:type="dxa"/>
            <w:left w:w="108" w:type="dxa"/>
            <w:bottom w:w="0" w:type="dxa"/>
            <w:right w:w="108" w:type="dxa"/>
          </w:tblCellMar>
        </w:tblPrEx>
        <w:trPr>
          <w:trHeight w:val="1099" w:hRule="atLeast"/>
        </w:trPr>
        <w:tc>
          <w:tcPr>
            <w:tcW w:w="108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填报人：</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lang w:eastAsia="zh-CN"/>
              </w:rPr>
              <w:t>李轶华</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联系电话：</w:t>
            </w:r>
          </w:p>
        </w:tc>
        <w:tc>
          <w:tcPr>
            <w:tcW w:w="1160" w:type="dxa"/>
            <w:tcBorders>
              <w:top w:val="nil"/>
              <w:left w:val="nil"/>
              <w:bottom w:val="nil"/>
              <w:right w:val="nil"/>
            </w:tcBorders>
            <w:shd w:val="clear" w:color="auto" w:fill="auto"/>
            <w:noWrap/>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rPr>
              <w:t>8</w:t>
            </w:r>
            <w:r>
              <w:rPr>
                <w:rFonts w:hint="eastAsia" w:ascii="宋体" w:hAnsi="宋体" w:cs="宋体"/>
                <w:color w:val="000000"/>
                <w:sz w:val="16"/>
                <w:szCs w:val="16"/>
                <w:lang w:val="en-US" w:eastAsia="zh-CN"/>
              </w:rPr>
              <w:t>806978</w:t>
            </w:r>
          </w:p>
        </w:tc>
      </w:tr>
    </w:tbl>
    <w:p>
      <w:pPr>
        <w:numPr>
          <w:ilvl w:val="0"/>
          <w:numId w:val="3"/>
        </w:numPr>
        <w:adjustRightInd w:val="0"/>
        <w:snapToGrid w:val="0"/>
        <w:spacing w:line="580" w:lineRule="exact"/>
        <w:ind w:left="480" w:leftChars="200"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部门评价项目绩效评价结果</w:t>
      </w:r>
    </w:p>
    <w:p>
      <w:pPr>
        <w:numPr>
          <w:ilvl w:val="0"/>
          <w:numId w:val="0"/>
        </w:numPr>
        <w:adjustRightInd w:val="0"/>
        <w:snapToGrid w:val="0"/>
        <w:spacing w:line="58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rPr>
        <w:t>本部门本年度没有财政评价项目绩效评价</w:t>
      </w:r>
    </w:p>
    <w:p>
      <w:pPr>
        <w:adjustRightInd w:val="0"/>
        <w:snapToGrid w:val="0"/>
        <w:spacing w:line="580" w:lineRule="exact"/>
        <w:ind w:firstLine="640" w:firstLineChars="200"/>
        <w:rPr>
          <w:rFonts w:ascii="Times New Roman" w:hAnsi="Times New Roman" w:eastAsia="楷体_GB2312" w:cs="Times New Roman"/>
          <w:b/>
          <w:bCs/>
          <w:sz w:val="32"/>
          <w:szCs w:val="32"/>
        </w:rPr>
      </w:pPr>
      <w:r>
        <w:rPr>
          <w:rFonts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本部门2023年度国有资本经营预算财政拨款支出决算表（公开08表）</w:t>
      </w:r>
      <w:r>
        <w:rPr>
          <w:rFonts w:hint="eastAsia" w:ascii="Times New Roman" w:hAnsi="Times New Roman" w:eastAsia="仿宋_GB2312" w:cs="Times New Roman"/>
          <w:sz w:val="32"/>
          <w:szCs w:val="32"/>
        </w:rPr>
        <w:t>、财政拨款“三公”经费支出决算表（</w:t>
      </w:r>
      <w:r>
        <w:rPr>
          <w:rFonts w:ascii="Times New Roman" w:hAnsi="Times New Roman" w:eastAsia="仿宋_GB2312" w:cs="Times New Roman"/>
          <w:sz w:val="32"/>
          <w:szCs w:val="32"/>
        </w:rPr>
        <w:t>公开0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无收支及结转结余情况，故国有资本经营预算财政拨款支出决算表（公开08表）</w:t>
      </w:r>
      <w:r>
        <w:rPr>
          <w:rFonts w:hint="eastAsia" w:ascii="Times New Roman" w:hAnsi="Times New Roman" w:eastAsia="仿宋_GB2312" w:cs="Times New Roman"/>
          <w:sz w:val="32"/>
          <w:szCs w:val="32"/>
        </w:rPr>
        <w:t>、财政拨款“三公”经费支出决算表（</w:t>
      </w:r>
      <w:r>
        <w:rPr>
          <w:rFonts w:ascii="Times New Roman" w:hAnsi="Times New Roman" w:eastAsia="仿宋_GB2312" w:cs="Times New Roman"/>
          <w:sz w:val="32"/>
          <w:szCs w:val="32"/>
        </w:rPr>
        <w:t>公开0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等表以空表列示。</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80" w:lineRule="exact"/>
        <w:ind w:firstLine="640" w:firstLineChars="200"/>
        <w:rPr>
          <w:rFonts w:ascii="Times New Roman" w:hAnsi="Times New Roman" w:eastAsia="仿宋_GB2312" w:cs="Times New Roman"/>
          <w:sz w:val="32"/>
          <w:szCs w:val="32"/>
        </w:rPr>
      </w:pPr>
    </w:p>
    <w:p>
      <w:pPr>
        <w:widowControl/>
        <w:spacing w:line="580" w:lineRule="exact"/>
        <w:ind w:firstLine="883" w:firstLineChars="200"/>
        <w:jc w:val="left"/>
        <w:rPr>
          <w:rFonts w:ascii="Times New Roman" w:hAnsi="Times New Roman" w:eastAsia="宋体" w:cs="Times New Roman"/>
          <w:b/>
          <w:bCs/>
          <w:sz w:val="44"/>
          <w:szCs w:val="44"/>
        </w:rPr>
      </w:pPr>
    </w:p>
    <w:p>
      <w:pPr>
        <w:rPr>
          <w:rFonts w:ascii="Times New Roman" w:hAnsi="Times New Roman" w:eastAsia="仿宋_GB2312" w:cs="Times New Roman"/>
          <w:sz w:val="32"/>
          <w:szCs w:val="32"/>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第四部分 相关名词解释</w:t>
      </w:r>
    </w:p>
    <w:p>
      <w:pP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br w:type="page"/>
      </w:r>
    </w:p>
    <w:p>
      <w:pPr>
        <w:widowControl/>
        <w:jc w:val="center"/>
        <w:rPr>
          <w:rFonts w:ascii="Times New Roman" w:hAnsi="Times New Roman" w:eastAsia="黑体" w:cs="Times New Roman"/>
          <w:color w:val="000000" w:themeColor="text1"/>
          <w:sz w:val="44"/>
          <w:szCs w:val="44"/>
        </w:rPr>
      </w:pPr>
    </w:p>
    <w:p>
      <w:pPr>
        <w:rPr>
          <w:rFonts w:ascii="Times New Roman" w:hAnsi="Times New Roman" w:eastAsia="仿宋_GB2312" w:cs="Times New Roman"/>
          <w:sz w:val="32"/>
          <w:szCs w:val="32"/>
        </w:rPr>
      </w:pP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财政拨款收入：</w:t>
      </w:r>
      <w:r>
        <w:rPr>
          <w:rFonts w:ascii="Times New Roman" w:hAnsi="Times New Roman" w:eastAsia="仿宋_GB2312" w:cs="Times New Roman"/>
          <w:bCs/>
          <w:color w:val="000000"/>
          <w:sz w:val="32"/>
          <w:szCs w:val="32"/>
        </w:rPr>
        <w:t>指单位从同级财政部门取得的财政预算资金。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事业收入：</w:t>
      </w:r>
      <w:r>
        <w:rPr>
          <w:rFonts w:ascii="Times New Roman" w:hAnsi="Times New Roman" w:eastAsia="仿宋_GB2312" w:cs="Times New Roman"/>
          <w:bCs/>
          <w:color w:val="000000"/>
          <w:sz w:val="32"/>
          <w:szCs w:val="32"/>
        </w:rPr>
        <w:t>指事业单位开展专业业务活动及辅助活动取得的收入。</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经营收入：</w:t>
      </w:r>
      <w:r>
        <w:rPr>
          <w:rFonts w:ascii="Times New Roman" w:hAnsi="Times New Roman" w:eastAsia="仿宋_GB2312" w:cs="Times New Roman"/>
          <w:bCs/>
          <w:color w:val="000000"/>
          <w:sz w:val="32"/>
          <w:szCs w:val="32"/>
        </w:rPr>
        <w:t>指事业单位在专业业务活动及其辅助活动之外开展非独立核算经营活动取得的收入。</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其他收入：</w:t>
      </w:r>
      <w:r>
        <w:rPr>
          <w:rFonts w:ascii="Times New Roman" w:hAnsi="Times New Roman" w:eastAsia="仿宋_GB2312" w:cs="Times New Roman"/>
          <w:bCs/>
          <w:color w:val="000000"/>
          <w:sz w:val="32"/>
          <w:szCs w:val="32"/>
        </w:rPr>
        <w:t>指单位取得的除上述收入以外的各项收</w:t>
      </w:r>
    </w:p>
    <w:p>
      <w:pPr>
        <w:spacing w:line="580" w:lineRule="exact"/>
        <w:rPr>
          <w:rFonts w:ascii="Times New Roman" w:hAnsi="Times New Roman" w:eastAsia="仿宋_GB2312" w:cs="Times New Roman"/>
          <w:b/>
          <w:bCs/>
          <w:color w:val="000000"/>
          <w:sz w:val="32"/>
          <w:szCs w:val="32"/>
        </w:rPr>
      </w:pPr>
      <w:r>
        <w:rPr>
          <w:rFonts w:ascii="Times New Roman" w:hAnsi="Times New Roman" w:eastAsia="仿宋_GB2312" w:cs="Times New Roman"/>
          <w:bCs/>
          <w:color w:val="000000"/>
          <w:sz w:val="32"/>
          <w:szCs w:val="32"/>
        </w:rPr>
        <w:t>入。主要是事业单位固定资产出租收入、存款利息收入等。</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使用非财政拨款结余（含专用结余）：</w:t>
      </w:r>
      <w:r>
        <w:rPr>
          <w:rFonts w:ascii="Times New Roman" w:hAnsi="Times New Roman" w:eastAsia="仿宋_GB2312" w:cs="Times New Roman"/>
          <w:bCs/>
          <w:color w:val="000000"/>
          <w:sz w:val="32"/>
          <w:szCs w:val="32"/>
        </w:rPr>
        <w:t>指事业单位按照预算管理要求使用非财政拨款结余弥补收支差额的金额，以及使用专用结余安排支出的金额。</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年初结转和结余：</w:t>
      </w:r>
      <w:r>
        <w:rPr>
          <w:rFonts w:ascii="Times New Roman" w:hAnsi="Times New Roman" w:eastAsia="仿宋_GB2312" w:cs="Times New Roman"/>
          <w:bCs/>
          <w:color w:val="000000"/>
          <w:sz w:val="32"/>
          <w:szCs w:val="32"/>
        </w:rPr>
        <w:t>指单位以前年度尚未完成、结转到本年仍按原规定用途继续使用的资金，或项目已完成等产生的结余资金。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结余分配：</w:t>
      </w:r>
      <w:r>
        <w:rPr>
          <w:rFonts w:ascii="Times New Roman" w:hAnsi="Times New Roman" w:eastAsia="仿宋_GB2312" w:cs="Times New Roman"/>
          <w:bCs/>
          <w:color w:val="000000"/>
          <w:sz w:val="32"/>
          <w:szCs w:val="32"/>
        </w:rPr>
        <w:t>指事业单位按照会计制度规定缴纳的所得税、提取的专用结余以及转入非财政拨款结余的金额等。</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年末结转和结余：</w:t>
      </w:r>
      <w:r>
        <w:rPr>
          <w:rFonts w:ascii="Times New Roman" w:hAnsi="Times New Roman" w:eastAsia="仿宋_GB2312" w:cs="Times New Roman"/>
          <w:bCs/>
          <w:color w:val="000000"/>
          <w:sz w:val="32"/>
          <w:szCs w:val="32"/>
        </w:rPr>
        <w:t>指单位按有关规定结转到下年或以后年度继续使用的资金，或项目已完成等产生的结余资金。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基本支出：</w:t>
      </w:r>
      <w:r>
        <w:rPr>
          <w:rFonts w:ascii="Times New Roman" w:hAnsi="Times New Roman" w:eastAsia="仿宋_GB2312" w:cs="Times New Roman"/>
          <w:bCs/>
          <w:color w:val="000000"/>
          <w:sz w:val="32"/>
          <w:szCs w:val="32"/>
        </w:rPr>
        <w:t>指为保障机构正常运转、完成日常工作任务而发生的人员支出和公用支出。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w:t>
      </w:r>
      <w:r>
        <w:rPr>
          <w:rFonts w:ascii="Times New Roman" w:hAnsi="Times New Roman" w:eastAsia="仿宋_GB2312" w:cs="Times New Roman"/>
          <w:b/>
          <w:bCs/>
          <w:color w:val="000000"/>
          <w:sz w:val="32"/>
          <w:szCs w:val="32"/>
        </w:rPr>
        <w:t>项目支出：</w:t>
      </w:r>
      <w:r>
        <w:rPr>
          <w:rFonts w:ascii="Times New Roman" w:hAnsi="Times New Roman" w:eastAsia="仿宋_GB2312" w:cs="Times New Roman"/>
          <w:color w:val="000000"/>
          <w:sz w:val="32"/>
          <w:szCs w:val="32"/>
        </w:rPr>
        <w:t>指在基本支出之外为完成特定行政任务和事业发展目标所发生的支出。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十一、</w:t>
      </w:r>
      <w:r>
        <w:rPr>
          <w:rFonts w:ascii="Times New Roman" w:hAnsi="Times New Roman" w:eastAsia="仿宋_GB2312" w:cs="Times New Roman"/>
          <w:b/>
          <w:bCs/>
          <w:color w:val="000000"/>
          <w:sz w:val="32"/>
          <w:szCs w:val="32"/>
        </w:rPr>
        <w:t>经营支出 ：</w:t>
      </w:r>
      <w:r>
        <w:rPr>
          <w:rFonts w:ascii="Times New Roman" w:hAnsi="Times New Roman" w:eastAsia="仿宋_GB2312" w:cs="Times New Roman"/>
          <w:color w:val="000000"/>
          <w:sz w:val="32"/>
          <w:szCs w:val="32"/>
        </w:rPr>
        <w:t>指事业单位在专业业务活动及其辅助活动之外开展非独立核算经营活动发生的支出。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十二、</w:t>
      </w:r>
      <w:r>
        <w:rPr>
          <w:rFonts w:ascii="Times New Roman" w:hAnsi="Times New Roman" w:eastAsia="仿宋_GB2312" w:cs="Times New Roman"/>
          <w:b/>
          <w:bCs/>
          <w:color w:val="000000"/>
          <w:sz w:val="32"/>
          <w:szCs w:val="32"/>
        </w:rPr>
        <w:t>基本建设支出：</w:t>
      </w:r>
      <w:r>
        <w:rPr>
          <w:rFonts w:ascii="Times New Roman" w:hAnsi="Times New Roman" w:eastAsia="仿宋_GB2312" w:cs="Times New Roman"/>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十三、</w:t>
      </w:r>
      <w:r>
        <w:rPr>
          <w:rFonts w:ascii="Times New Roman" w:hAnsi="Times New Roman" w:eastAsia="仿宋_GB2312" w:cs="Times New Roman"/>
          <w:b/>
          <w:bCs/>
          <w:color w:val="000000"/>
          <w:sz w:val="32"/>
          <w:szCs w:val="32"/>
        </w:rPr>
        <w:t>其他资本性支出：</w:t>
      </w:r>
      <w:r>
        <w:rPr>
          <w:rFonts w:ascii="Times New Roman" w:hAnsi="Times New Roman" w:eastAsia="仿宋_GB2312" w:cs="Times New Roman"/>
          <w:color w:val="00000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十四、</w:t>
      </w:r>
      <w:r>
        <w:rPr>
          <w:rFonts w:ascii="Times New Roman" w:hAnsi="Times New Roman" w:eastAsia="仿宋_GB2312" w:cs="Times New Roman"/>
          <w:b/>
          <w:bCs/>
          <w:color w:val="000000"/>
          <w:sz w:val="32"/>
          <w:szCs w:val="32"/>
        </w:rPr>
        <w:t>“三公”经费：</w:t>
      </w:r>
      <w:r>
        <w:rPr>
          <w:rFonts w:ascii="Times New Roman" w:hAnsi="Times New Roman" w:eastAsia="仿宋_GB2312"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十五、</w:t>
      </w:r>
      <w:r>
        <w:rPr>
          <w:rFonts w:ascii="Times New Roman" w:hAnsi="Times New Roman" w:eastAsia="仿宋_GB2312" w:cs="Times New Roman"/>
          <w:b/>
          <w:bCs/>
          <w:color w:val="000000"/>
          <w:sz w:val="32"/>
          <w:szCs w:val="32"/>
        </w:rPr>
        <w:t>其他交通费用：</w:t>
      </w:r>
      <w:r>
        <w:rPr>
          <w:rFonts w:ascii="Times New Roman" w:hAnsi="Times New Roman" w:eastAsia="仿宋_GB2312" w:cs="Times New Roman"/>
          <w:color w:val="00000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十六、</w:t>
      </w:r>
      <w:r>
        <w:rPr>
          <w:rFonts w:ascii="Times New Roman" w:hAnsi="Times New Roman" w:eastAsia="仿宋_GB2312" w:cs="Times New Roman"/>
          <w:b/>
          <w:bCs/>
          <w:color w:val="000000"/>
          <w:sz w:val="32"/>
          <w:szCs w:val="32"/>
        </w:rPr>
        <w:t>公务用车购置：</w:t>
      </w:r>
      <w:r>
        <w:rPr>
          <w:rFonts w:ascii="Times New Roman" w:hAnsi="Times New Roman" w:eastAsia="仿宋_GB2312" w:cs="Times New Roman"/>
          <w:color w:val="000000"/>
          <w:sz w:val="32"/>
          <w:szCs w:val="32"/>
        </w:rPr>
        <w:t>填列单位公务用车车辆购置支出（含车辆购置税、牌照费）。</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十七、</w:t>
      </w:r>
      <w:r>
        <w:rPr>
          <w:rFonts w:ascii="Times New Roman" w:hAnsi="Times New Roman" w:eastAsia="仿宋_GB2312" w:cs="Times New Roman"/>
          <w:b/>
          <w:bCs/>
          <w:color w:val="000000"/>
          <w:sz w:val="32"/>
          <w:szCs w:val="32"/>
        </w:rPr>
        <w:t>其他交通工具购置：</w:t>
      </w:r>
      <w:r>
        <w:rPr>
          <w:rFonts w:ascii="Times New Roman" w:hAnsi="Times New Roman" w:eastAsia="仿宋_GB2312" w:cs="Times New Roman"/>
          <w:color w:val="000000"/>
          <w:sz w:val="32"/>
          <w:szCs w:val="32"/>
        </w:rPr>
        <w:t>填列单位除公务用车外的其他各类交通工具（如船舶、飞机等）购置支出（含车辆购置税、牌照费）。</w:t>
      </w:r>
    </w:p>
    <w:p>
      <w:pPr>
        <w:widowControl/>
        <w:spacing w:line="56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十八、机关运行经费：</w:t>
      </w:r>
      <w:r>
        <w:rPr>
          <w:rFonts w:ascii="Times New Roman" w:hAnsi="Times New Roman" w:eastAsia="仿宋_GB2312" w:cs="Times New Roman"/>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十九、经费形式:</w:t>
      </w:r>
      <w:r>
        <w:rPr>
          <w:rFonts w:ascii="Times New Roman" w:hAnsi="Times New Roman" w:eastAsia="仿宋_GB2312" w:cs="Times New Roman"/>
          <w:color w:val="000000"/>
          <w:sz w:val="32"/>
          <w:szCs w:val="32"/>
        </w:rPr>
        <w:t>按照经费来源，</w:t>
      </w:r>
      <w:r>
        <w:rPr>
          <w:rFonts w:ascii="Times New Roman" w:hAnsi="Times New Roman" w:eastAsia="仿宋_GB2312" w:cs="Times New Roman"/>
          <w:sz w:val="32"/>
          <w:szCs w:val="32"/>
        </w:rPr>
        <w:t>可分为财政拨款、财政性资金基本保证、财政性资金定额或定项补助、财政性资金零补助四类</w:t>
      </w:r>
      <w:r>
        <w:rPr>
          <w:rFonts w:hint="eastAsia" w:ascii="Times New Roman" w:hAnsi="Times New Roman" w:eastAsia="仿宋_GB2312" w:cs="Times New Roman"/>
          <w:sz w:val="32"/>
          <w:szCs w:val="32"/>
        </w:rPr>
        <w:t>。</w:t>
      </w:r>
    </w:p>
    <w:p>
      <w:pPr>
        <w:rPr>
          <w:rFonts w:ascii="Times New Roman" w:hAnsi="Times New Roman" w:cs="Times New Roman"/>
        </w:rPr>
      </w:pPr>
    </w:p>
    <w:p>
      <w:pPr>
        <w:pStyle w:val="10"/>
        <w:widowControl/>
        <w:spacing w:beforeAutospacing="0" w:afterAutospacing="0"/>
        <w:rPr>
          <w:rFonts w:ascii="Times New Roman" w:hAnsi="Times New Roman" w:eastAsia="仿宋_GB2312"/>
          <w:color w:val="333333"/>
          <w:sz w:val="33"/>
          <w:szCs w:val="33"/>
          <w:shd w:val="clear" w:color="auto" w:fill="FFFFFF"/>
        </w:rPr>
      </w:pPr>
    </w:p>
    <w:p>
      <w:pPr>
        <w:rPr>
          <w:rFonts w:ascii="Times New Roman" w:hAnsi="Times New Roman" w:eastAsia="仿宋_GB2312"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魏碑简体">
    <w:altName w:val="方正魏碑_GBK"/>
    <w:panose1 w:val="00000000000000000000"/>
    <w:charset w:val="86"/>
    <w:family w:val="auto"/>
    <w:pitch w:val="default"/>
    <w:sig w:usb0="00000000" w:usb1="0000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Arial Unicode MS">
    <w:altName w:val="DejaVu Sans"/>
    <w:panose1 w:val="020B0604020202020204"/>
    <w:charset w:val="00"/>
    <w:family w:val="roman"/>
    <w:pitch w:val="default"/>
    <w:sig w:usb0="00000000" w:usb1="00000000" w:usb2="00000000" w:usb3="00000000" w:csb0="00000001"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EB42C"/>
    <w:multiLevelType w:val="singleLevel"/>
    <w:tmpl w:val="F31EB42C"/>
    <w:lvl w:ilvl="0" w:tentative="0">
      <w:start w:val="4"/>
      <w:numFmt w:val="chineseCounting"/>
      <w:suff w:val="nothing"/>
      <w:lvlText w:val="（%1）"/>
      <w:lvlJc w:val="left"/>
      <w:rPr>
        <w:rFonts w:hint="eastAsia"/>
      </w:rPr>
    </w:lvl>
  </w:abstractNum>
  <w:abstractNum w:abstractNumId="1">
    <w:nsid w:val="FFBF2564"/>
    <w:multiLevelType w:val="singleLevel"/>
    <w:tmpl w:val="FFBF2564"/>
    <w:lvl w:ilvl="0" w:tentative="0">
      <w:start w:val="3"/>
      <w:numFmt w:val="chineseCounting"/>
      <w:suff w:val="nothing"/>
      <w:lvlText w:val="（%1）"/>
      <w:lvlJc w:val="left"/>
      <w:rPr>
        <w:rFonts w:hint="eastAsia"/>
      </w:rPr>
    </w:lvl>
  </w:abstractNum>
  <w:abstractNum w:abstractNumId="2">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jb3VudCI6NjksImhkaWQiOiJiMzk2N2EzZjUyYWViODRjZjJhMDZjM2YyYjk4MTExMiIsInVzZXJDb3VudCI6MX0="/>
  </w:docVars>
  <w:rsids>
    <w:rsidRoot w:val="003433B5"/>
    <w:rsid w:val="00086151"/>
    <w:rsid w:val="000B38A3"/>
    <w:rsid w:val="00236F8C"/>
    <w:rsid w:val="003433B5"/>
    <w:rsid w:val="004452E4"/>
    <w:rsid w:val="00822154"/>
    <w:rsid w:val="00C65689"/>
    <w:rsid w:val="00CC2C8E"/>
    <w:rsid w:val="01A03C5A"/>
    <w:rsid w:val="01A5267D"/>
    <w:rsid w:val="01AF6A8D"/>
    <w:rsid w:val="024808A2"/>
    <w:rsid w:val="025C3821"/>
    <w:rsid w:val="02DA3B1B"/>
    <w:rsid w:val="02E57B4D"/>
    <w:rsid w:val="03450B90"/>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DFE9067"/>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6457D9F"/>
    <w:rsid w:val="17223EFF"/>
    <w:rsid w:val="173D3576"/>
    <w:rsid w:val="17AA5F28"/>
    <w:rsid w:val="17B713F6"/>
    <w:rsid w:val="17EFA439"/>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EE065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0F6490"/>
    <w:rsid w:val="3B135A0E"/>
    <w:rsid w:val="3B272BBC"/>
    <w:rsid w:val="3B374FEE"/>
    <w:rsid w:val="3B4410EE"/>
    <w:rsid w:val="3B56159C"/>
    <w:rsid w:val="3B596DF7"/>
    <w:rsid w:val="3B7D732B"/>
    <w:rsid w:val="3BD30423"/>
    <w:rsid w:val="3C6C0B58"/>
    <w:rsid w:val="3CBE41D5"/>
    <w:rsid w:val="3D446B0E"/>
    <w:rsid w:val="3D953A6B"/>
    <w:rsid w:val="3DBB5979"/>
    <w:rsid w:val="3DD56F21"/>
    <w:rsid w:val="3DFF982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DF7BA0A"/>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7B5A115"/>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0089C"/>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7F743E"/>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7F9D56"/>
    <w:rsid w:val="7FA837EF"/>
    <w:rsid w:val="7FC36955"/>
    <w:rsid w:val="7FE903A0"/>
    <w:rsid w:val="7FF07065"/>
    <w:rsid w:val="7FF97946"/>
    <w:rsid w:val="7FFE7888"/>
    <w:rsid w:val="7FFEB3D1"/>
    <w:rsid w:val="B6EF05FC"/>
    <w:rsid w:val="B7737C9F"/>
    <w:rsid w:val="BF3DB32C"/>
    <w:rsid w:val="BFD7CED1"/>
    <w:rsid w:val="DEFD706B"/>
    <w:rsid w:val="DF3F78AD"/>
    <w:rsid w:val="E76FA7C1"/>
    <w:rsid w:val="E7F5CFCA"/>
    <w:rsid w:val="EFDE277A"/>
    <w:rsid w:val="F5EF2F1A"/>
    <w:rsid w:val="FA5672B5"/>
    <w:rsid w:val="FCDF6986"/>
    <w:rsid w:val="FDDB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39</Pages>
  <Words>2462</Words>
  <Characters>14034</Characters>
  <Lines>116</Lines>
  <Paragraphs>32</Paragraphs>
  <TotalTime>111</TotalTime>
  <ScaleCrop>false</ScaleCrop>
  <LinksUpToDate>false</LinksUpToDate>
  <CharactersWithSpaces>16464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2024-11-05T08:42:00Z</dcterms:created>
  <dc:creator>王明新TIAD</dc:creator>
  <cp:lastModifiedBy>TFPC</cp:lastModifiedBy>
  <cp:lastPrinted>2023-08-05T01:00:00Z</cp:lastPrinted>
  <dcterms:modified xsi:type="dcterms:W3CDTF">2024-11-05T16:48:12Z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