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沙河市退役军人事务局</w:t>
      </w:r>
    </w:p>
    <w:p>
      <w:pPr>
        <w:jc w:val="center"/>
        <w:rPr>
          <w:rFonts w:hint="eastAsia" w:ascii="黑体" w:hAnsi="黑体" w:eastAsia="黑体" w:cs="黑体"/>
          <w:sz w:val="44"/>
          <w:szCs w:val="44"/>
        </w:rPr>
      </w:pPr>
      <w:r>
        <w:rPr>
          <w:rFonts w:hint="eastAsia" w:ascii="黑体" w:hAnsi="黑体" w:eastAsia="黑体" w:cs="黑体"/>
          <w:sz w:val="44"/>
          <w:szCs w:val="44"/>
        </w:rPr>
        <w:t>2019年部门预算信息公开情况说明</w:t>
      </w:r>
    </w:p>
    <w:p>
      <w:pPr>
        <w:jc w:val="center"/>
        <w:rPr>
          <w:rFonts w:hint="eastAsia" w:asciiTheme="minorEastAsia" w:hAnsiTheme="minorEastAsia" w:eastAsiaTheme="minorEastAsia" w:cstheme="minorEastAsia"/>
          <w:sz w:val="44"/>
          <w:szCs w:val="44"/>
        </w:rPr>
      </w:pPr>
    </w:p>
    <w:p>
      <w:pPr>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w:t>
      </w:r>
      <w:r>
        <w:rPr>
          <w:rFonts w:hint="eastAsia" w:asciiTheme="minorEastAsia" w:hAnsiTheme="minorEastAsia" w:cstheme="minorEastAsia"/>
          <w:sz w:val="32"/>
          <w:szCs w:val="32"/>
          <w:lang w:val="en-US" w:eastAsia="zh-CN"/>
        </w:rPr>
        <w:t>中华人民共和国</w:t>
      </w:r>
      <w:r>
        <w:rPr>
          <w:rFonts w:hint="eastAsia" w:asciiTheme="minorEastAsia" w:hAnsiTheme="minorEastAsia" w:eastAsiaTheme="minorEastAsia" w:cstheme="minorEastAsia"/>
          <w:sz w:val="32"/>
          <w:szCs w:val="32"/>
        </w:rPr>
        <w:t>预算法》、《地方预决算公开操作规程》规定，现将2019年部门预算公开如下：</w:t>
      </w:r>
    </w:p>
    <w:p>
      <w:pPr>
        <w:numPr>
          <w:ilvl w:val="0"/>
          <w:numId w:val="1"/>
        </w:numPr>
        <w:spacing w:line="610" w:lineRule="exact"/>
        <w:ind w:firstLine="64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部门职责及机构设置情况</w:t>
      </w:r>
    </w:p>
    <w:p>
      <w:pPr>
        <w:spacing w:line="61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部门职责：</w:t>
      </w:r>
    </w:p>
    <w:p>
      <w:pPr>
        <w:pStyle w:val="9"/>
        <w:widowControl/>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（一）贯彻执行国家、省和邢台退役军人思想政治、管理保障和安置</w:t>
      </w:r>
      <w:r>
        <w:rPr>
          <w:rFonts w:hint="eastAsia" w:asciiTheme="minorEastAsia" w:hAnsiTheme="minorEastAsia" w:eastAsiaTheme="minorEastAsia" w:cstheme="minorEastAsia"/>
          <w:sz w:val="28"/>
          <w:szCs w:val="28"/>
          <w:lang w:eastAsia="zh-CN"/>
        </w:rPr>
        <w:t>优抚</w:t>
      </w:r>
      <w:r>
        <w:rPr>
          <w:rFonts w:hint="eastAsia" w:asciiTheme="minorEastAsia" w:hAnsiTheme="minorEastAsia" w:eastAsiaTheme="minorEastAsia" w:cstheme="minorEastAsia"/>
          <w:sz w:val="28"/>
          <w:szCs w:val="28"/>
        </w:rPr>
        <w:t>等工作政策、法规和规章，拟订全市退役军人思想政治、管理保障和安置优抚等政策并组织实施，褒扬彰显退役军人为党、国家和人民牺牲奉献的精神风范和价值导向。</w:t>
      </w:r>
    </w:p>
    <w:p>
      <w:pPr>
        <w:pStyle w:val="9"/>
        <w:widowControl/>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（二）负责全市军队转业干部、复原干部、离退休干部、退役士兵、符合条件消防员和无军籍退休退职职工的移交安置工作以及自主择业、就业退役军人的服务管理工作。</w:t>
      </w:r>
    </w:p>
    <w:p>
      <w:pPr>
        <w:pStyle w:val="9"/>
        <w:widowControl/>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（三）组织指导退役军人教育培训工作，协调扶持退役军人和随军随调家属就业创业。</w:t>
      </w:r>
    </w:p>
    <w:p>
      <w:pPr>
        <w:pStyle w:val="9"/>
        <w:widowControl/>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（四）会同有关部门落实国家、省和邢台市退役军人特殊保障政策，落实企业中军队转业干部的解困政策。</w:t>
      </w:r>
    </w:p>
    <w:p>
      <w:pPr>
        <w:pStyle w:val="9"/>
        <w:widowControl/>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（五）组织协调落实移交地方的离退休军人、符合条件的其他退役军人和无军籍退休退职职工的住房保障工作，以及退役军人医疗保障、社会保险等待遇保障工作。</w:t>
      </w:r>
    </w:p>
    <w:p>
      <w:pPr>
        <w:pStyle w:val="9"/>
        <w:widowControl/>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（六）组织指导伤病残退役军人服务管理和抚恤工作。指导实施有关退役军人医疗、疗养、养老等机构的规划政策；承担不适宜继续服役的伤病残军人相关工作；组织指导军供服务保障工作。</w:t>
      </w:r>
    </w:p>
    <w:p>
      <w:pPr>
        <w:pStyle w:val="9"/>
        <w:widowControl/>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pPr>
        <w:pStyle w:val="9"/>
        <w:widowControl/>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负责烈士及退役军人荣誉奖励、军人公墓管理维护、纪念活动等工作。依法承担英雄烈士保护相关工作，审核拟列入全国、省、市和县级重点保护单位的烈士纪念建筑物名录，总结表彰和宣扬退役军人、退役军人工作单位和个人先进典型事迹。</w:t>
      </w:r>
    </w:p>
    <w:p>
      <w:pPr>
        <w:pStyle w:val="9"/>
        <w:widowControl/>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（九）指导并监督检查退役军人相关法律法规和政策措施的落实，组织开展退役军人权益维护和有关人员的帮扶援助工作。</w:t>
      </w:r>
    </w:p>
    <w:p>
      <w:pPr>
        <w:pStyle w:val="9"/>
        <w:widowControl/>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（十）完成市委、市政府交办的其他任务。</w:t>
      </w:r>
    </w:p>
    <w:tbl>
      <w:tblPr>
        <w:tblStyle w:val="4"/>
        <w:tblpPr w:leftFromText="180" w:rightFromText="180" w:vertAnchor="text" w:horzAnchor="page" w:tblpX="1422" w:tblpY="1460"/>
        <w:tblOverlap w:val="never"/>
        <w:tblW w:w="9540" w:type="dxa"/>
        <w:tblInd w:w="0" w:type="dxa"/>
        <w:tblLayout w:type="fixed"/>
        <w:tblCellMar>
          <w:top w:w="15" w:type="dxa"/>
          <w:left w:w="15" w:type="dxa"/>
          <w:bottom w:w="15" w:type="dxa"/>
          <w:right w:w="15" w:type="dxa"/>
        </w:tblCellMar>
      </w:tblPr>
      <w:tblGrid>
        <w:gridCol w:w="1769"/>
        <w:gridCol w:w="2394"/>
        <w:gridCol w:w="1791"/>
        <w:gridCol w:w="1620"/>
        <w:gridCol w:w="1966"/>
      </w:tblGrid>
      <w:tr>
        <w:tblPrEx>
          <w:tblCellMar>
            <w:top w:w="15" w:type="dxa"/>
            <w:left w:w="15" w:type="dxa"/>
            <w:bottom w:w="15" w:type="dxa"/>
            <w:right w:w="15" w:type="dxa"/>
          </w:tblCellMar>
        </w:tblPrEx>
        <w:trPr>
          <w:trHeight w:val="865" w:hRule="atLeast"/>
        </w:trPr>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28"/>
                <w:szCs w:val="28"/>
              </w:rPr>
              <w:t>预算部门编码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32"/>
                <w:szCs w:val="32"/>
              </w:rPr>
              <w:t>单位名称</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32"/>
                <w:szCs w:val="32"/>
              </w:rPr>
              <w:t>单位性质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32"/>
                <w:szCs w:val="32"/>
              </w:rPr>
              <w:t>单位规格</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30"/>
                <w:szCs w:val="30"/>
              </w:rPr>
              <w:t>经费保障形式</w:t>
            </w:r>
          </w:p>
        </w:tc>
      </w:tr>
      <w:tr>
        <w:tblPrEx>
          <w:tblCellMar>
            <w:top w:w="15" w:type="dxa"/>
            <w:left w:w="15" w:type="dxa"/>
            <w:bottom w:w="15" w:type="dxa"/>
            <w:right w:w="15" w:type="dxa"/>
          </w:tblCellMar>
        </w:tblPrEx>
        <w:trPr>
          <w:trHeight w:val="453" w:hRule="atLeast"/>
        </w:trPr>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32"/>
                <w:szCs w:val="32"/>
              </w:rPr>
              <w:t>203</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32"/>
                <w:szCs w:val="32"/>
              </w:rPr>
              <w:t>沙河市退役军人事务局</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32"/>
                <w:szCs w:val="32"/>
              </w:rPr>
              <w:t>政府部门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32"/>
                <w:szCs w:val="32"/>
              </w:rPr>
              <w:t>正科级</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32"/>
                <w:szCs w:val="32"/>
              </w:rPr>
              <w:t>财政</w:t>
            </w:r>
          </w:p>
        </w:tc>
      </w:tr>
    </w:tbl>
    <w:p>
      <w:pPr>
        <w:spacing w:line="61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机构设置：</w:t>
      </w:r>
    </w:p>
    <w:p>
      <w:pPr>
        <w:spacing w:line="610" w:lineRule="exact"/>
        <w:ind w:firstLine="640" w:firstLineChars="200"/>
        <w:rPr>
          <w:rFonts w:hint="eastAsia" w:asciiTheme="minorEastAsia" w:hAnsiTheme="minorEastAsia" w:eastAsiaTheme="minorEastAsia" w:cstheme="minorEastAsia"/>
          <w:sz w:val="32"/>
          <w:szCs w:val="32"/>
        </w:rPr>
      </w:pPr>
    </w:p>
    <w:p>
      <w:pPr>
        <w:widowControl/>
        <w:spacing w:line="580" w:lineRule="exact"/>
        <w:ind w:firstLine="540"/>
        <w:jc w:val="left"/>
        <w:rPr>
          <w:rFonts w:hint="eastAsia" w:asciiTheme="minorEastAsia" w:hAnsiTheme="minorEastAsia" w:eastAsiaTheme="minorEastAsia" w:cstheme="minorEastAsia"/>
          <w:sz w:val="32"/>
          <w:shd w:val="clear" w:color="auto" w:fill="FFFFFF"/>
        </w:rPr>
      </w:pPr>
      <w:r>
        <w:rPr>
          <w:rFonts w:hint="eastAsia" w:asciiTheme="minorEastAsia" w:hAnsiTheme="minorEastAsia" w:eastAsiaTheme="minorEastAsia" w:cstheme="minorEastAsia"/>
          <w:sz w:val="32"/>
          <w:shd w:val="clear" w:color="auto" w:fill="FFFFFF"/>
        </w:rPr>
        <w:t>沙河市退役军人事务局内设办公室、安置股2个股室，下设沙河市退役军人服务中心、沙河市光荣院、沙河市军队离退休干部休养所、沙河市烈士陵园4个下属单位。</w:t>
      </w:r>
    </w:p>
    <w:p>
      <w:pPr>
        <w:spacing w:line="610" w:lineRule="exact"/>
        <w:ind w:firstLine="64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二、部门预算安排的总体情况</w:t>
      </w:r>
    </w:p>
    <w:p>
      <w:pPr>
        <w:spacing w:line="61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按照预算管理有关规定，目前我市部门预算的编制实行综合预算制度，即全部收入和支出都反映在预算中，单位的收支包含在部门预算中。</w:t>
      </w:r>
    </w:p>
    <w:p>
      <w:pPr>
        <w:numPr>
          <w:ilvl w:val="0"/>
          <w:numId w:val="2"/>
        </w:numPr>
        <w:spacing w:line="61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收入说明</w:t>
      </w:r>
    </w:p>
    <w:p>
      <w:pPr>
        <w:spacing w:line="61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反映本部门当年全部收入。2019年预算收入829.75万元，其中：一般公共预算收入829.75万元。</w:t>
      </w:r>
    </w:p>
    <w:p>
      <w:pPr>
        <w:numPr>
          <w:ilvl w:val="0"/>
          <w:numId w:val="2"/>
        </w:numPr>
        <w:spacing w:line="61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支出说明</w:t>
      </w:r>
    </w:p>
    <w:p>
      <w:pPr>
        <w:spacing w:line="61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收支预算总表支出栏、基本支出表、项目支出表按经济分类和支出功能分类科目编制，反映沙河市退役军人事务局2019年度部门预算中支出预算的总体情况。2019年支出预算829.75万元，其中项目支出829.75万元，包括退役</w:t>
      </w:r>
      <w:r>
        <w:rPr>
          <w:rFonts w:hint="eastAsia" w:asciiTheme="minorEastAsia" w:hAnsiTheme="minorEastAsia" w:cstheme="minorEastAsia"/>
          <w:sz w:val="32"/>
          <w:szCs w:val="32"/>
          <w:lang w:val="en-US" w:eastAsia="zh-CN"/>
        </w:rPr>
        <w:t>军人</w:t>
      </w:r>
      <w:bookmarkStart w:id="0" w:name="_GoBack"/>
      <w:bookmarkEnd w:id="0"/>
      <w:r>
        <w:rPr>
          <w:rFonts w:hint="eastAsia" w:asciiTheme="minorEastAsia" w:hAnsiTheme="minorEastAsia" w:eastAsiaTheme="minorEastAsia" w:cstheme="minorEastAsia"/>
          <w:sz w:val="32"/>
          <w:szCs w:val="32"/>
        </w:rPr>
        <w:t>安置等退役军人事务专项资金。</w:t>
      </w:r>
    </w:p>
    <w:p>
      <w:pPr>
        <w:numPr>
          <w:ilvl w:val="0"/>
          <w:numId w:val="2"/>
        </w:numPr>
        <w:spacing w:line="61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比上年增减情况</w:t>
      </w:r>
    </w:p>
    <w:p>
      <w:pPr>
        <w:spacing w:line="61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我局为2019年新成立政府工作部门，上年度没有资金预算，因此无法与上年数据进行比较。</w:t>
      </w:r>
    </w:p>
    <w:p>
      <w:pPr>
        <w:numPr>
          <w:ilvl w:val="0"/>
          <w:numId w:val="3"/>
        </w:numPr>
        <w:spacing w:line="610" w:lineRule="exact"/>
        <w:ind w:firstLine="64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机关运行经费安排情况</w:t>
      </w:r>
    </w:p>
    <w:p>
      <w:pPr>
        <w:spacing w:line="61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我局为2019年新成立政府工作部门，虽有人员编制，但人员划转工作尚未完成，人员包干等经费还在原单位，因此预算安排中没有机关运行经费。</w:t>
      </w:r>
    </w:p>
    <w:p>
      <w:pPr>
        <w:numPr>
          <w:ilvl w:val="0"/>
          <w:numId w:val="3"/>
        </w:numPr>
        <w:spacing w:line="610" w:lineRule="exact"/>
        <w:ind w:firstLine="64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财政拨款“三公”经费预算情况及增减变化原因</w:t>
      </w:r>
    </w:p>
    <w:p>
      <w:pPr>
        <w:spacing w:line="61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2019年，我部门没有“三公”经费预算安排。</w:t>
      </w:r>
    </w:p>
    <w:p>
      <w:pPr>
        <w:numPr>
          <w:ilvl w:val="0"/>
          <w:numId w:val="3"/>
        </w:numPr>
        <w:spacing w:line="610" w:lineRule="exact"/>
        <w:ind w:firstLine="64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绩效预算信息</w:t>
      </w:r>
    </w:p>
    <w:p>
      <w:pPr>
        <w:spacing w:line="560" w:lineRule="exact"/>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职责分类绩效目标：</w:t>
      </w:r>
    </w:p>
    <w:p>
      <w:pPr>
        <w:spacing w:line="560" w:lineRule="exact"/>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1、按照政策文件标准，在“八一”建军节前将上年度自主就业退役士兵资金足额发放到位；根据省下达的安置计划及人数，根据档案分数进行排名，组织选岗大会按照排名顺序由高到低进行岗位选择，年底前将本年度转业干部、转业士官安置到位；严格执行军休干部生活待遇的政策，按上级文件规定的标准，不折不扣地落实军休干部应享受的生活待遇。在离退休费、各种补贴、补助的发放等方面，做到及时、热情、周到，使党和政府的关怀真正落实到军休干部身上。每季度为企业退休军转干部发放一次困难补助，并组织两次慰问和一次体检。</w:t>
      </w:r>
    </w:p>
    <w:p>
      <w:pPr>
        <w:spacing w:line="560" w:lineRule="exact"/>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巩固省级双拥模范城的创建成果，进一步完善基层拥军服务网络；探索重点优抚对象住院“零首付”模式，开展对重点优抚对象实行跟踪服务。组织开展优秀退役军人、困难退役军人以及特殊情况退役军人和其他优抚对象的走访慰问活动；确保清明节、烈士纪念日等重大节日活动安全有序开展；确保烈士陵园及零散烈士纪念设施的正常运转；认真做好重点优抚对象的集中供养工作；开展优抚对象的短期疗养工作，在做好集中供养、短期疗养工作过程中，对符合集中供养的优抚对象依照本人</w:t>
      </w:r>
      <w:r>
        <w:rPr>
          <w:rFonts w:hint="eastAsia" w:asciiTheme="minorEastAsia" w:hAnsiTheme="minorEastAsia" w:cstheme="minorEastAsia"/>
          <w:bCs/>
          <w:sz w:val="32"/>
          <w:szCs w:val="32"/>
          <w:lang w:eastAsia="zh-CN"/>
        </w:rPr>
        <w:t>意愿</w:t>
      </w:r>
      <w:r>
        <w:rPr>
          <w:rFonts w:hint="eastAsia" w:asciiTheme="minorEastAsia" w:hAnsiTheme="minorEastAsia" w:eastAsiaTheme="minorEastAsia" w:cstheme="minorEastAsia"/>
          <w:bCs/>
          <w:sz w:val="32"/>
          <w:szCs w:val="32"/>
        </w:rPr>
        <w:t>办理集中供养手续，实行集中供养。</w:t>
      </w:r>
    </w:p>
    <w:p>
      <w:pPr>
        <w:spacing w:line="560" w:lineRule="exact"/>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开展退役军人就业创业工作研究和形势分析，搭建就业创业服务平台，为退役军人提供政策咨询和就业指导服务；协助做好退役军人就业需求、用人单位岗位需求数据库建设和有关数据报送工作；协助做好退役军人适应性培训、职业技能培训、学历教育等工作；做好退役军人网上招聘活动的宣传发动、用人单位信息审查、退役军人求职简历审核发送、面试服务等工作；组织开展退役军人和随军家属招聘会、推介会和就业创业项目推介活动；协助做好下岗失业退役军人公益岗位申请、劳务派遣推送等再就业工作。</w:t>
      </w:r>
    </w:p>
    <w:p>
      <w:pPr>
        <w:spacing w:line="560" w:lineRule="exact"/>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做好退役军人和其他优抚对象来访接待、退役军人信息和视频一体化平台接访工作，开展政策解答、协调处理诉求等工作，为维护退役军人和其他优抚对象的合法权益提供必要的法律服务和政策指导，组织开展本辖区退役军人和其他优抚对象信息数据采集、资料管理、总结报送和信息提供等工作，更新完善有关信息台账，定期开展数据分析，提出意见建议，协助做好为退役军人发放更换优待证、为立功受奖现役军人家庭送喜报和为退役军人、军属、烈属、因公牺牲军人家属、病故军人家属等家庭悬挂光荣牌工作。</w:t>
      </w:r>
    </w:p>
    <w:p>
      <w:pPr>
        <w:spacing w:line="610" w:lineRule="exact"/>
        <w:ind w:left="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部门职责及工作绩效目标指标表</w:t>
      </w:r>
    </w:p>
    <w:tbl>
      <w:tblPr>
        <w:tblStyle w:val="4"/>
        <w:tblW w:w="0" w:type="auto"/>
        <w:tblInd w:w="95" w:type="dxa"/>
        <w:tblLayout w:type="autofit"/>
        <w:tblCellMar>
          <w:top w:w="0" w:type="dxa"/>
          <w:left w:w="108" w:type="dxa"/>
          <w:bottom w:w="0" w:type="dxa"/>
          <w:right w:w="108" w:type="dxa"/>
        </w:tblCellMar>
      </w:tblPr>
      <w:tblGrid>
        <w:gridCol w:w="925"/>
        <w:gridCol w:w="2012"/>
        <w:gridCol w:w="2452"/>
        <w:gridCol w:w="676"/>
        <w:gridCol w:w="788"/>
        <w:gridCol w:w="636"/>
        <w:gridCol w:w="528"/>
        <w:gridCol w:w="528"/>
        <w:gridCol w:w="648"/>
      </w:tblGrid>
      <w:tr>
        <w:tblPrEx>
          <w:tblCellMar>
            <w:top w:w="0" w:type="dxa"/>
            <w:left w:w="108" w:type="dxa"/>
            <w:bottom w:w="0" w:type="dxa"/>
            <w:right w:w="108" w:type="dxa"/>
          </w:tblCellMar>
        </w:tblPrEx>
        <w:trPr>
          <w:trHeight w:val="57" w:hRule="atLeast"/>
        </w:trPr>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职责-活动-项目</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内容描述</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绩效目标</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绩效指标</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指标描述</w:t>
            </w:r>
          </w:p>
        </w:tc>
        <w:tc>
          <w:tcPr>
            <w:tcW w:w="0" w:type="auto"/>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绩效标准</w:t>
            </w:r>
          </w:p>
        </w:tc>
      </w:tr>
      <w:tr>
        <w:tblPrEx>
          <w:tblCellMar>
            <w:top w:w="0" w:type="dxa"/>
            <w:left w:w="108" w:type="dxa"/>
            <w:bottom w:w="0" w:type="dxa"/>
            <w:right w:w="108" w:type="dxa"/>
          </w:tblCellMar>
        </w:tblPrEx>
        <w:trPr>
          <w:trHeight w:val="5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优</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良</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中</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差</w:t>
            </w:r>
          </w:p>
        </w:tc>
      </w:tr>
      <w:tr>
        <w:tblPrEx>
          <w:tblCellMar>
            <w:top w:w="0" w:type="dxa"/>
            <w:left w:w="108" w:type="dxa"/>
            <w:bottom w:w="0" w:type="dxa"/>
            <w:right w:w="108" w:type="dxa"/>
          </w:tblCellMar>
        </w:tblPrEx>
        <w:trPr>
          <w:trHeight w:val="5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职责1双拥优抚安置管理</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指导全县拥军优属活动。组织对优抚对象的优待、抚恤的政策落实，负责全县转业士官、退役士兵及军队离退休干部、退休士官和军队无军籍退休退职职工接收工作。</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0" w:type="auto"/>
            <w:gridSpan w:val="6"/>
            <w:tcBorders>
              <w:top w:val="single" w:color="auto" w:sz="4" w:space="0"/>
              <w:left w:val="nil"/>
              <w:bottom w:val="single" w:color="auto" w:sz="4" w:space="0"/>
              <w:right w:val="single" w:color="000000"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（职责本行不用填）</w:t>
            </w:r>
          </w:p>
        </w:tc>
      </w:tr>
      <w:tr>
        <w:tblPrEx>
          <w:tblCellMar>
            <w:top w:w="0" w:type="dxa"/>
            <w:left w:w="108" w:type="dxa"/>
            <w:bottom w:w="0" w:type="dxa"/>
            <w:right w:w="108" w:type="dxa"/>
          </w:tblCellMar>
        </w:tblPrEx>
        <w:trPr>
          <w:trHeight w:val="5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 xml:space="preserve">     活动1.1优待抚恤</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负责全县优抚对象优待、抚恤工作；负责优抚对象数据更新管理；承担优抚对象巡诊、残疾军人康复辅助器械配备工作。</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确保优抚对象的生活水平不低于当地居民平均生活水平，义务兵家庭优待金及时足额兑现。</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资金发放标准和发放率</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资金发放标准和发放率应达到相关文件要求</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tblPrEx>
          <w:tblCellMar>
            <w:top w:w="0" w:type="dxa"/>
            <w:left w:w="108" w:type="dxa"/>
            <w:bottom w:w="0" w:type="dxa"/>
            <w:right w:w="108" w:type="dxa"/>
          </w:tblCellMar>
        </w:tblPrEx>
        <w:trPr>
          <w:trHeight w:val="57" w:hRule="atLeast"/>
        </w:trPr>
        <w:tc>
          <w:tcPr>
            <w:tcW w:w="0" w:type="auto"/>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 xml:space="preserve">      项目1.1.1优抚对象优待、抚恤</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负责全县优抚对象优待、抚恤工作；负责优抚对象数据更新管理；承担优抚对象巡诊、残疾军人康复辅助器械配备工作。</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确保优抚对象的生活水平不低于当地居民平均生活水平，义务兵家庭优待金及时足额兑现。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义务兵优待金发放率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已发放人数占应发放人数的比例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&lt;98%</w:t>
            </w:r>
          </w:p>
        </w:tc>
      </w:tr>
      <w:tr>
        <w:tblPrEx>
          <w:tblCellMar>
            <w:top w:w="0" w:type="dxa"/>
            <w:left w:w="108" w:type="dxa"/>
            <w:bottom w:w="0" w:type="dxa"/>
            <w:right w:w="108" w:type="dxa"/>
          </w:tblCellMar>
        </w:tblPrEx>
        <w:trPr>
          <w:trHeight w:val="57" w:hRule="atLeast"/>
        </w:trPr>
        <w:tc>
          <w:tcPr>
            <w:tcW w:w="0" w:type="auto"/>
            <w:vMerge w:val="continue"/>
            <w:tcBorders>
              <w:top w:val="nil"/>
              <w:left w:val="single" w:color="auto" w:sz="4" w:space="0"/>
              <w:bottom w:val="nil"/>
              <w:right w:val="single" w:color="auto" w:sz="4" w:space="0"/>
            </w:tcBorders>
            <w:vAlign w:val="center"/>
          </w:tcPr>
          <w:p>
            <w:pPr>
              <w:widowControl/>
              <w:jc w:val="left"/>
              <w:rPr>
                <w:rFonts w:hint="eastAsia" w:asciiTheme="minorEastAsia" w:hAnsiTheme="minorEastAsia" w:eastAsiaTheme="minorEastAsia" w:cstheme="minorEastAsia"/>
                <w:b/>
                <w:bCs/>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优抚对象抚恤和生活补助足额兑现率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优抚对象生活抚恤兑付资金占应兑付额的比例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&lt;98%</w:t>
            </w:r>
          </w:p>
        </w:tc>
      </w:tr>
      <w:tr>
        <w:tblPrEx>
          <w:tblCellMar>
            <w:top w:w="0" w:type="dxa"/>
            <w:left w:w="108" w:type="dxa"/>
            <w:bottom w:w="0" w:type="dxa"/>
            <w:right w:w="108" w:type="dxa"/>
          </w:tblCellMar>
        </w:tblPrEx>
        <w:trPr>
          <w:trHeight w:val="57" w:hRule="atLeast"/>
        </w:trPr>
        <w:tc>
          <w:tcPr>
            <w:tcW w:w="0" w:type="auto"/>
            <w:vMerge w:val="continue"/>
            <w:tcBorders>
              <w:top w:val="nil"/>
              <w:left w:val="single" w:color="auto" w:sz="4" w:space="0"/>
              <w:bottom w:val="nil"/>
              <w:right w:val="single" w:color="auto" w:sz="4" w:space="0"/>
            </w:tcBorders>
            <w:vAlign w:val="center"/>
          </w:tcPr>
          <w:p>
            <w:pPr>
              <w:widowControl/>
              <w:jc w:val="left"/>
              <w:rPr>
                <w:rFonts w:hint="eastAsia" w:asciiTheme="minorEastAsia" w:hAnsiTheme="minorEastAsia" w:eastAsiaTheme="minorEastAsia" w:cstheme="minorEastAsia"/>
                <w:b/>
                <w:bCs/>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重点优抚对象参合率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已参合人数占应参合人数的比例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&lt;98%</w:t>
            </w:r>
          </w:p>
        </w:tc>
      </w:tr>
      <w:tr>
        <w:tblPrEx>
          <w:tblCellMar>
            <w:top w:w="0" w:type="dxa"/>
            <w:left w:w="108" w:type="dxa"/>
            <w:bottom w:w="0" w:type="dxa"/>
            <w:right w:w="108" w:type="dxa"/>
          </w:tblCellMar>
        </w:tblPrEx>
        <w:trPr>
          <w:trHeight w:val="57" w:hRule="atLeast"/>
        </w:trPr>
        <w:tc>
          <w:tcPr>
            <w:tcW w:w="0" w:type="auto"/>
            <w:tcBorders>
              <w:top w:val="nil"/>
              <w:left w:val="single" w:color="auto" w:sz="4" w:space="0"/>
              <w:bottom w:val="nil"/>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 xml:space="preserve">     活动1.2复员退伍军人及军休安置</w:t>
            </w:r>
          </w:p>
        </w:tc>
        <w:tc>
          <w:tcPr>
            <w:tcW w:w="0" w:type="auto"/>
            <w:tcBorders>
              <w:top w:val="nil"/>
              <w:left w:val="nil"/>
              <w:bottom w:val="nil"/>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负责全县转业士官、退役士兵及军队离退休干部、退休士官和军队无军籍退休退职职工接收工作。</w:t>
            </w:r>
          </w:p>
        </w:tc>
        <w:tc>
          <w:tcPr>
            <w:tcW w:w="0" w:type="auto"/>
            <w:tcBorders>
              <w:top w:val="nil"/>
              <w:left w:val="nil"/>
              <w:bottom w:val="nil"/>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资金发放标准与发放率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资金发放标准和发放率应达到相关文件要求</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tblPrEx>
          <w:tblCellMar>
            <w:top w:w="0" w:type="dxa"/>
            <w:left w:w="108" w:type="dxa"/>
            <w:bottom w:w="0" w:type="dxa"/>
            <w:right w:w="108" w:type="dxa"/>
          </w:tblCellMar>
        </w:tblPrEx>
        <w:trPr>
          <w:trHeight w:val="57"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 xml:space="preserve">      项目1.2.1复员退伍军人及军休安置</w:t>
            </w:r>
          </w:p>
        </w:tc>
        <w:tc>
          <w:tcPr>
            <w:tcW w:w="0" w:type="auto"/>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负责城镇退役士兵、转业士官安置工作；组织、指导全县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0" w:type="auto"/>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阳光安置，保障退役士兵合法权益；加强职业教育和技能培训；按时足额发放各类经济补助。全面落实军队离退休干部、退休士官和军队无军籍退休退职职工的政治和生活待遇。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军队无军籍退休职工地方性津补贴到位率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实际享受军队无军籍退休职工地方性津补贴人数占应享受人数的比例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≥80%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&lt;80%</w:t>
            </w:r>
          </w:p>
        </w:tc>
      </w:tr>
      <w:tr>
        <w:tblPrEx>
          <w:tblCellMar>
            <w:top w:w="0" w:type="dxa"/>
            <w:left w:w="108" w:type="dxa"/>
            <w:bottom w:w="0" w:type="dxa"/>
            <w:right w:w="108" w:type="dxa"/>
          </w:tblCellMar>
        </w:tblPrEx>
        <w:trPr>
          <w:trHeight w:val="57"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城镇退役士兵自谋职业补助率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城镇退役士兵自谋职业补助人数占该总人数的比例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&lt;90%</w:t>
            </w:r>
          </w:p>
        </w:tc>
      </w:tr>
      <w:tr>
        <w:tblPrEx>
          <w:tblCellMar>
            <w:top w:w="0" w:type="dxa"/>
            <w:left w:w="108" w:type="dxa"/>
            <w:bottom w:w="0" w:type="dxa"/>
            <w:right w:w="108" w:type="dxa"/>
          </w:tblCellMar>
        </w:tblPrEx>
        <w:trPr>
          <w:trHeight w:val="57"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自主就业退役士兵补助率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自主就业退役士兵补助人数占应补助总人数的比例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&lt;90%</w:t>
            </w:r>
          </w:p>
        </w:tc>
      </w:tr>
      <w:tr>
        <w:tblPrEx>
          <w:tblCellMar>
            <w:top w:w="0" w:type="dxa"/>
            <w:left w:w="108" w:type="dxa"/>
            <w:bottom w:w="0" w:type="dxa"/>
            <w:right w:w="108" w:type="dxa"/>
          </w:tblCellMar>
        </w:tblPrEx>
        <w:trPr>
          <w:trHeight w:val="57"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教育培训补助率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教育培训补助人数占应补助人数的比例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&lt;90%</w:t>
            </w:r>
          </w:p>
        </w:tc>
      </w:tr>
      <w:tr>
        <w:tblPrEx>
          <w:tblCellMar>
            <w:top w:w="0" w:type="dxa"/>
            <w:left w:w="108" w:type="dxa"/>
            <w:bottom w:w="0" w:type="dxa"/>
            <w:right w:w="108" w:type="dxa"/>
          </w:tblCellMar>
        </w:tblPrEx>
        <w:trPr>
          <w:trHeight w:val="57"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县级军休干部医疗补助落实率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实际落实军休干部医疗补助人数占应补助人数的比例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≥70%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&lt;60%</w:t>
            </w:r>
          </w:p>
        </w:tc>
      </w:tr>
      <w:tr>
        <w:tblPrEx>
          <w:tblCellMar>
            <w:top w:w="0" w:type="dxa"/>
            <w:left w:w="108" w:type="dxa"/>
            <w:bottom w:w="0" w:type="dxa"/>
            <w:right w:w="108" w:type="dxa"/>
          </w:tblCellMar>
        </w:tblPrEx>
        <w:trPr>
          <w:trHeight w:val="57"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军休干部家属遗属医疗生活补助到位率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军休干部家属遗属医疗生活补助落实资金量占应到位的补助资金量比例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≥70%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&lt;60%</w:t>
            </w:r>
          </w:p>
        </w:tc>
      </w:tr>
      <w:tr>
        <w:tblPrEx>
          <w:tblCellMar>
            <w:top w:w="0" w:type="dxa"/>
            <w:left w:w="108" w:type="dxa"/>
            <w:bottom w:w="0" w:type="dxa"/>
            <w:right w:w="108" w:type="dxa"/>
          </w:tblCellMar>
        </w:tblPrEx>
        <w:trPr>
          <w:trHeight w:val="5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 xml:space="preserve">     活动1.3优抚事业单位能力建设</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加快光荣院建设和维修改造，提高服务保障水平，确保优抚对象基本生活和医疗；承担县级烈士纪念设施的审核报批工作，负责烈士纪念设施的保护和管理。</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光荣院达到国家建设标准；在院休病(养）员医疗和生活补助标准不低于全国平均水平；确保为过往军队人员提供生活保障；烈士纪念设施爱国主义教育功能日益完善，烈士褒扬系统信息完整。</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光荣院基础设施建设标准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光荣院基础设施建设应达到国家建设标准</w:t>
            </w:r>
          </w:p>
        </w:tc>
        <w:tc>
          <w:tcPr>
            <w:tcW w:w="0" w:type="auto"/>
            <w:tcBorders>
              <w:top w:val="nil"/>
              <w:left w:val="nil"/>
              <w:bottom w:val="single" w:color="auto" w:sz="4" w:space="0"/>
              <w:right w:val="single" w:color="auto" w:sz="4" w:space="0"/>
            </w:tcBorders>
            <w:shd w:val="clear" w:color="000000" w:fill="FFFFFF"/>
            <w:vAlign w:val="bottom"/>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0" w:type="auto"/>
            <w:tcBorders>
              <w:top w:val="nil"/>
              <w:left w:val="nil"/>
              <w:bottom w:val="single" w:color="auto" w:sz="4" w:space="0"/>
              <w:right w:val="single" w:color="auto" w:sz="4" w:space="0"/>
            </w:tcBorders>
            <w:shd w:val="clear" w:color="000000" w:fill="FFFFFF"/>
            <w:vAlign w:val="bottom"/>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0" w:type="auto"/>
            <w:tcBorders>
              <w:top w:val="nil"/>
              <w:left w:val="nil"/>
              <w:bottom w:val="single" w:color="auto" w:sz="4" w:space="0"/>
              <w:right w:val="single" w:color="auto" w:sz="4" w:space="0"/>
            </w:tcBorders>
            <w:shd w:val="clear" w:color="000000" w:fill="FFFFFF"/>
            <w:vAlign w:val="bottom"/>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c>
          <w:tcPr>
            <w:tcW w:w="0" w:type="auto"/>
            <w:tcBorders>
              <w:top w:val="nil"/>
              <w:left w:val="nil"/>
              <w:bottom w:val="single" w:color="auto" w:sz="4" w:space="0"/>
              <w:right w:val="single" w:color="auto" w:sz="4" w:space="0"/>
            </w:tcBorders>
            <w:shd w:val="clear" w:color="000000" w:fill="FFFFFF"/>
            <w:vAlign w:val="bottom"/>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tc>
      </w:tr>
      <w:tr>
        <w:tblPrEx>
          <w:tblCellMar>
            <w:top w:w="0" w:type="dxa"/>
            <w:left w:w="108" w:type="dxa"/>
            <w:bottom w:w="0" w:type="dxa"/>
            <w:right w:w="108" w:type="dxa"/>
          </w:tblCellMar>
        </w:tblPrEx>
        <w:trPr>
          <w:trHeight w:val="5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 xml:space="preserve">      项目1.3.1优抚事业单位能力建设</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加快光荣院建设和维修改造，提高服务保障水平，确保优抚对象基本生活和医疗；承担县级烈士纪念设施的审核报批工作，负责烈士纪念设施的保护和管理。</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光荣院达到国家建设标准；在院休病(养）员医疗和生活补助标准不低于全国平均水平；确保为过往军队人员提供生活保障；烈士纪念设施爱国主义教育功能日益完善，烈士褒扬系统信息完整。</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光荣院基础设施建设标准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光荣院基础设施建设是否达到国家建设标准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达到标准</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未达到标准</w:t>
            </w:r>
          </w:p>
        </w:tc>
      </w:tr>
      <w:tr>
        <w:tblPrEx>
          <w:tblCellMar>
            <w:top w:w="0" w:type="dxa"/>
            <w:left w:w="108" w:type="dxa"/>
            <w:bottom w:w="0" w:type="dxa"/>
            <w:right w:w="108" w:type="dxa"/>
          </w:tblCellMar>
        </w:tblPrEx>
        <w:trPr>
          <w:trHeight w:val="5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 xml:space="preserve">   活动1.4拥军优属慰问及双拥活动</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组织开展全县拥军优属慰问工作、积极开展双拥活动。慰问全县驻军和重点优抚对象</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开展双拥系列活动，宣传双拥成果，积极营造全县双拥工作氛围。慰问驻军和部分重点优抚对象</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随军家属生活补贴发放率及走访慰问驻市部队次数</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及时发放随军家属生活补贴并定期走访慰问驻市部队</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tblPrEx>
          <w:tblCellMar>
            <w:top w:w="0" w:type="dxa"/>
            <w:left w:w="108" w:type="dxa"/>
            <w:bottom w:w="0" w:type="dxa"/>
            <w:right w:w="108" w:type="dxa"/>
          </w:tblCellMar>
        </w:tblPrEx>
        <w:trPr>
          <w:trHeight w:val="57"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 xml:space="preserve">   项目1.4.1拥军优属慰问及双拥活动</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组织开展全县拥军优属慰问工作、积极开展双拥活动。慰问全县驻军和重点优抚对象</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开展双拥系列活动，宣传双拥成果，积极营造全县双拥工作氛围。慰问驻军和部分重点优抚对象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随军家属生活补贴发放率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已发放人数占应发放人数的比例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≥80%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&lt;60%</w:t>
            </w:r>
          </w:p>
        </w:tc>
      </w:tr>
      <w:tr>
        <w:tblPrEx>
          <w:tblCellMar>
            <w:top w:w="0" w:type="dxa"/>
            <w:left w:w="108" w:type="dxa"/>
            <w:bottom w:w="0" w:type="dxa"/>
            <w:right w:w="108" w:type="dxa"/>
          </w:tblCellMar>
        </w:tblPrEx>
        <w:trPr>
          <w:trHeight w:val="57"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bCs/>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八一慰问驻市部队次数</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八一慰问驻市部队次数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0</w:t>
            </w:r>
          </w:p>
        </w:tc>
      </w:tr>
      <w:tr>
        <w:tblPrEx>
          <w:tblCellMar>
            <w:top w:w="0" w:type="dxa"/>
            <w:left w:w="108" w:type="dxa"/>
            <w:bottom w:w="0" w:type="dxa"/>
            <w:right w:w="108" w:type="dxa"/>
          </w:tblCellMar>
        </w:tblPrEx>
        <w:trPr>
          <w:trHeight w:val="5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 xml:space="preserve">     活动1.5企业军转干部解困补助</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保障困难企业军转干部基本生活，统筹发放企业军转干部生活困难补助资金及解困资金。</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保障困难企业军转干部基本生活，统筹发放企业军转干部生活困难补助资金及解困资金。</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资金发放率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已发放资金占应发放资金的比例</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tblPrEx>
          <w:tblCellMar>
            <w:top w:w="0" w:type="dxa"/>
            <w:left w:w="108" w:type="dxa"/>
            <w:bottom w:w="0" w:type="dxa"/>
            <w:right w:w="108" w:type="dxa"/>
          </w:tblCellMar>
        </w:tblPrEx>
        <w:trPr>
          <w:trHeight w:val="5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 xml:space="preserve">      项目1.5.1企业军转干部解困补助</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保障困难企业军转干部基本生活，统筹发放企业军转干部生活困难补助资金及解困资金。</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保障困难企业军转干部基本生活，统筹发放企业军转干部生活困难补助资金及解困资金。</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资金发放率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已发放资金占应发放资金的比例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&lt;90%</w:t>
            </w:r>
          </w:p>
        </w:tc>
      </w:tr>
      <w:tr>
        <w:tblPrEx>
          <w:tblCellMar>
            <w:top w:w="0" w:type="dxa"/>
            <w:left w:w="108" w:type="dxa"/>
            <w:bottom w:w="0" w:type="dxa"/>
            <w:right w:w="108" w:type="dxa"/>
          </w:tblCellMar>
        </w:tblPrEx>
        <w:trPr>
          <w:trHeight w:val="5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职责2退役军人事务政务管理</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推进全县退役军人事务事业发展；负责双拥优抚安置资金管理、国有资产管理、内部审计、统计管理工作；开展全县退役军人信息系统信息化建设工作；负责本级政务公开、新闻宣传工作；承办群众的来信来访工作。</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建立和维护县退役军人事务系统政务公开平台，推进政府信息公开、政务公开，完成在县委、县政府系统信息考核任务；搞好群众来信来访工作，杜绝群体上访事件。</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tblPrEx>
          <w:tblCellMar>
            <w:top w:w="0" w:type="dxa"/>
            <w:left w:w="108" w:type="dxa"/>
            <w:bottom w:w="0" w:type="dxa"/>
            <w:right w:w="108" w:type="dxa"/>
          </w:tblCellMar>
        </w:tblPrEx>
        <w:trPr>
          <w:trHeight w:val="5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 xml:space="preserve">     活动2.1综合业务管理</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组织退役军人事务政务公开和新闻宣传。</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建立和维护市退役军人事务系统政务公开平台，推进退役军人事务政府信息公开、政务公开；搞好群众来信来访工作，杜绝群体上访事件。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综合业务管理工作完成率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综合业务管理工作完成情况占综合业务管理工作任务的比例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tblPrEx>
          <w:tblCellMar>
            <w:top w:w="0" w:type="dxa"/>
            <w:left w:w="108" w:type="dxa"/>
            <w:bottom w:w="0" w:type="dxa"/>
            <w:right w:w="108" w:type="dxa"/>
          </w:tblCellMar>
        </w:tblPrEx>
        <w:trPr>
          <w:trHeight w:val="5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 xml:space="preserve">      项目2.1.1综合业务管理</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组织退役军人事务政务公开和新闻宣传。</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建立和维护市退役军人事务系统政务公开平台，推进退役军人事务政府信息公开、政务公开；搞好群众来信来访工作，杜绝群体上访事件。</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综合业务管理工作完成率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综合业务管理工作完成情况占综合业务管理工作任务的比例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&lt;90%</w:t>
            </w:r>
          </w:p>
        </w:tc>
      </w:tr>
      <w:tr>
        <w:tblPrEx>
          <w:tblCellMar>
            <w:top w:w="0" w:type="dxa"/>
            <w:left w:w="108" w:type="dxa"/>
            <w:bottom w:w="0" w:type="dxa"/>
            <w:right w:w="108" w:type="dxa"/>
          </w:tblCellMar>
        </w:tblPrEx>
        <w:trPr>
          <w:trHeight w:val="5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 xml:space="preserve">     活动2.2综合事务管理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负责双拥优抚安置资金监督管理、国有资产管理、内部审计、统计管理工作；组织开展退役军人管理系统干部教育培训，组织全县退役军人信息平台建设。</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退役军人事务干部队伍素质有所提高。做好现有网站、系统、设备的维护、升级，对新建信息化项目进行科学规划和高效实施。</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综合事务管理工作完成率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综合事务管理工作完成情况占综合事务管理工作任务的比例</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w:t>
            </w:r>
          </w:p>
        </w:tc>
      </w:tr>
      <w:tr>
        <w:tblPrEx>
          <w:tblCellMar>
            <w:top w:w="0" w:type="dxa"/>
            <w:left w:w="108" w:type="dxa"/>
            <w:bottom w:w="0" w:type="dxa"/>
            <w:right w:w="108" w:type="dxa"/>
          </w:tblCellMar>
        </w:tblPrEx>
        <w:trPr>
          <w:trHeight w:val="5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 xml:space="preserve">      项目2.1.2综合事务管理</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负责双拥优抚安置资金监督管理、国有资产管理、内部审计、统计管理工作；组织开展退役军人管理系统干部教育培训，组织全县退役军人信息平台建设。</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退役军人事务干部队伍素质有所提高。做好现有网站、系统、设备的维护、升级，对新建信息化项目进行科学规划和高效实施。</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综合事务管理工作完成率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综合事务管理工作完成情况占综合事务管理工作任务的比例</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&lt;90%</w:t>
            </w:r>
          </w:p>
        </w:tc>
      </w:tr>
    </w:tbl>
    <w:p>
      <w:pPr>
        <w:spacing w:line="610" w:lineRule="exact"/>
        <w:ind w:left="640"/>
        <w:rPr>
          <w:rFonts w:hint="eastAsia" w:asciiTheme="minorEastAsia" w:hAnsiTheme="minorEastAsia" w:eastAsiaTheme="minorEastAsia" w:cstheme="minorEastAsia"/>
          <w:sz w:val="32"/>
          <w:szCs w:val="32"/>
        </w:rPr>
      </w:pPr>
    </w:p>
    <w:p>
      <w:pPr>
        <w:numPr>
          <w:ilvl w:val="0"/>
          <w:numId w:val="4"/>
        </w:numPr>
        <w:spacing w:line="610" w:lineRule="exact"/>
        <w:ind w:firstLine="64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政府采购预算情况</w:t>
      </w:r>
    </w:p>
    <w:p>
      <w:pPr>
        <w:spacing w:line="61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2019年，我部门未安排政府采购预算。</w:t>
      </w:r>
    </w:p>
    <w:p>
      <w:pPr>
        <w:numPr>
          <w:ilvl w:val="0"/>
          <w:numId w:val="4"/>
        </w:numPr>
        <w:spacing w:line="610" w:lineRule="exact"/>
        <w:ind w:firstLine="64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国有资产信息</w:t>
      </w:r>
    </w:p>
    <w:p>
      <w:pPr>
        <w:spacing w:line="61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我部门为新成立政府工作部门，尚未购置固定资产，且目前使用的固定资产尚未从原单位划出，所以目前没有国有资产信息。</w:t>
      </w:r>
    </w:p>
    <w:p>
      <w:pPr>
        <w:numPr>
          <w:ilvl w:val="0"/>
          <w:numId w:val="4"/>
        </w:numPr>
        <w:spacing w:line="610" w:lineRule="exact"/>
        <w:ind w:firstLine="64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名词解释</w:t>
      </w:r>
    </w:p>
    <w:p>
      <w:pPr>
        <w:spacing w:line="61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b/>
          <w:bCs/>
          <w:sz w:val="32"/>
          <w:szCs w:val="32"/>
        </w:rPr>
        <w:t>财政拨款收入：</w:t>
      </w:r>
      <w:r>
        <w:rPr>
          <w:rFonts w:hint="eastAsia" w:asciiTheme="minorEastAsia" w:hAnsiTheme="minorEastAsia" w:eastAsiaTheme="minorEastAsia" w:cstheme="minorEastAsia"/>
          <w:sz w:val="32"/>
          <w:szCs w:val="32"/>
        </w:rPr>
        <w:t xml:space="preserve">指从本级财政当年拨付给部门的资金。 </w:t>
      </w:r>
    </w:p>
    <w:p>
      <w:pPr>
        <w:spacing w:line="61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sz w:val="32"/>
          <w:szCs w:val="32"/>
        </w:rPr>
        <w:t>基本支出：</w:t>
      </w:r>
      <w:r>
        <w:rPr>
          <w:rFonts w:hint="eastAsia" w:asciiTheme="minorEastAsia" w:hAnsiTheme="minorEastAsia" w:eastAsiaTheme="minorEastAsia" w:cstheme="minorEastAsia"/>
          <w:sz w:val="32"/>
          <w:szCs w:val="32"/>
        </w:rPr>
        <w:t xml:space="preserve">指为保障机构正常运转、完成日常工作任务而发生的人员支出和公用支出。 </w:t>
      </w:r>
    </w:p>
    <w:p>
      <w:pPr>
        <w:spacing w:line="61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sz w:val="32"/>
          <w:szCs w:val="32"/>
        </w:rPr>
        <w:t>“三公”经费：</w:t>
      </w:r>
      <w:r>
        <w:rPr>
          <w:rFonts w:hint="eastAsia" w:asciiTheme="minorEastAsia" w:hAnsiTheme="minorEastAsia" w:eastAsiaTheme="minorEastAsia" w:cstheme="minorEastAsia"/>
          <w:sz w:val="32"/>
          <w:szCs w:val="32"/>
        </w:rPr>
        <w:t xml:space="preserve">指政府部门用财政拨款安排的因公出国（境）费，公务用车购置及运行费和公务接待费。 </w:t>
      </w:r>
    </w:p>
    <w:p>
      <w:pPr>
        <w:spacing w:line="61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机关运行经费：</w:t>
      </w:r>
      <w:r>
        <w:rPr>
          <w:rFonts w:hint="eastAsia" w:asciiTheme="minorEastAsia" w:hAnsiTheme="minorEastAsia" w:eastAsiaTheme="minorEastAsia" w:cstheme="minorEastAsia"/>
          <w:sz w:val="32"/>
          <w:szCs w:val="32"/>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spacing w:line="61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绩效预算：</w:t>
      </w:r>
      <w:r>
        <w:rPr>
          <w:rFonts w:hint="eastAsia" w:asciiTheme="minorEastAsia" w:hAnsiTheme="minorEastAsia" w:eastAsiaTheme="minorEastAsia" w:cstheme="minorEastAsia"/>
          <w:sz w:val="32"/>
          <w:szCs w:val="32"/>
        </w:rPr>
        <w:t>就是政府首先制定有关的事业计划和工程计划，再依据政府职能和施政计划制定计划实施方案，并在成本效益分析的基础上确定实施方案所需费用来编制预算的一种方法。</w:t>
      </w:r>
    </w:p>
    <w:p>
      <w:pPr>
        <w:spacing w:line="61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政府采购</w:t>
      </w:r>
      <w:r>
        <w:rPr>
          <w:rFonts w:hint="eastAsia" w:asciiTheme="minorEastAsia" w:hAnsiTheme="minorEastAsia" w:eastAsiaTheme="minorEastAsia" w:cstheme="minorEastAsia"/>
          <w:sz w:val="32"/>
          <w:szCs w:val="32"/>
        </w:rPr>
        <w:t>：指各级政府为从事日常的政务活动或为了满足公共服务的目的，利用财政性资金和政府借款购买货物、工程和服务的行为。</w:t>
      </w:r>
    </w:p>
    <w:p>
      <w:pPr>
        <w:numPr>
          <w:ilvl w:val="0"/>
          <w:numId w:val="4"/>
        </w:numPr>
        <w:autoSpaceDE w:val="0"/>
        <w:autoSpaceDN w:val="0"/>
        <w:adjustRightInd w:val="0"/>
        <w:ind w:firstLine="640"/>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其他需要说明的事项</w:t>
      </w:r>
    </w:p>
    <w:p>
      <w:pPr>
        <w:spacing w:line="61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本单位无国有资本经营预算财政拨款支出</w:t>
      </w:r>
    </w:p>
    <w:sectPr>
      <w:footerReference r:id="rId3" w:type="default"/>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4</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1D9B3"/>
    <w:multiLevelType w:val="singleLevel"/>
    <w:tmpl w:val="58D1D9B3"/>
    <w:lvl w:ilvl="0" w:tentative="0">
      <w:start w:val="1"/>
      <w:numFmt w:val="chineseCounting"/>
      <w:suff w:val="nothing"/>
      <w:lvlText w:val="%1、"/>
      <w:lvlJc w:val="left"/>
    </w:lvl>
  </w:abstractNum>
  <w:abstractNum w:abstractNumId="1">
    <w:nsid w:val="58D1E27E"/>
    <w:multiLevelType w:val="singleLevel"/>
    <w:tmpl w:val="58D1E27E"/>
    <w:lvl w:ilvl="0" w:tentative="0">
      <w:start w:val="1"/>
      <w:numFmt w:val="chineseCounting"/>
      <w:suff w:val="nothing"/>
      <w:lvlText w:val="（%1）"/>
      <w:lvlJc w:val="left"/>
    </w:lvl>
  </w:abstractNum>
  <w:abstractNum w:abstractNumId="2">
    <w:nsid w:val="58D2299A"/>
    <w:multiLevelType w:val="singleLevel"/>
    <w:tmpl w:val="58D2299A"/>
    <w:lvl w:ilvl="0" w:tentative="0">
      <w:start w:val="3"/>
      <w:numFmt w:val="chineseCounting"/>
      <w:suff w:val="nothing"/>
      <w:lvlText w:val="%1、"/>
      <w:lvlJc w:val="left"/>
    </w:lvl>
  </w:abstractNum>
  <w:abstractNum w:abstractNumId="3">
    <w:nsid w:val="58D23527"/>
    <w:multiLevelType w:val="singleLevel"/>
    <w:tmpl w:val="58D23527"/>
    <w:lvl w:ilvl="0" w:tentative="0">
      <w:start w:val="6"/>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5E5A0C"/>
    <w:rsid w:val="000D1851"/>
    <w:rsid w:val="00245428"/>
    <w:rsid w:val="002B500B"/>
    <w:rsid w:val="003F26BA"/>
    <w:rsid w:val="004F205F"/>
    <w:rsid w:val="0057571D"/>
    <w:rsid w:val="005B1350"/>
    <w:rsid w:val="00634BA5"/>
    <w:rsid w:val="007E3B24"/>
    <w:rsid w:val="00814EDD"/>
    <w:rsid w:val="008914D7"/>
    <w:rsid w:val="00901C6D"/>
    <w:rsid w:val="00944C90"/>
    <w:rsid w:val="00CD6351"/>
    <w:rsid w:val="00DC2E51"/>
    <w:rsid w:val="00FA5C6D"/>
    <w:rsid w:val="00FB6BF0"/>
    <w:rsid w:val="02FE6A33"/>
    <w:rsid w:val="08133CF9"/>
    <w:rsid w:val="083C3FC4"/>
    <w:rsid w:val="084336FE"/>
    <w:rsid w:val="089775CD"/>
    <w:rsid w:val="0AA47C89"/>
    <w:rsid w:val="0D313077"/>
    <w:rsid w:val="0F986795"/>
    <w:rsid w:val="0FE173AC"/>
    <w:rsid w:val="11D82848"/>
    <w:rsid w:val="1577328F"/>
    <w:rsid w:val="16227841"/>
    <w:rsid w:val="175479BA"/>
    <w:rsid w:val="17C40914"/>
    <w:rsid w:val="18262A04"/>
    <w:rsid w:val="1B8F77CD"/>
    <w:rsid w:val="1FF11732"/>
    <w:rsid w:val="23BA0F34"/>
    <w:rsid w:val="27184D56"/>
    <w:rsid w:val="2922004A"/>
    <w:rsid w:val="29293F13"/>
    <w:rsid w:val="2AE3209A"/>
    <w:rsid w:val="2AFE0264"/>
    <w:rsid w:val="2B280FA4"/>
    <w:rsid w:val="2B422583"/>
    <w:rsid w:val="2E283248"/>
    <w:rsid w:val="319C3487"/>
    <w:rsid w:val="32300709"/>
    <w:rsid w:val="32D42EE6"/>
    <w:rsid w:val="32F46A87"/>
    <w:rsid w:val="34B11343"/>
    <w:rsid w:val="35585E1C"/>
    <w:rsid w:val="37B74E64"/>
    <w:rsid w:val="38EB016A"/>
    <w:rsid w:val="3A2B1507"/>
    <w:rsid w:val="3AF53755"/>
    <w:rsid w:val="3B853DBE"/>
    <w:rsid w:val="3C0E0293"/>
    <w:rsid w:val="3FA1632F"/>
    <w:rsid w:val="406A7BC4"/>
    <w:rsid w:val="40812AA2"/>
    <w:rsid w:val="422D50F8"/>
    <w:rsid w:val="42446149"/>
    <w:rsid w:val="49E63753"/>
    <w:rsid w:val="4B651A6D"/>
    <w:rsid w:val="4D0147FD"/>
    <w:rsid w:val="53A4734E"/>
    <w:rsid w:val="561273BB"/>
    <w:rsid w:val="56BB3C9F"/>
    <w:rsid w:val="5C815A5F"/>
    <w:rsid w:val="5DA744A4"/>
    <w:rsid w:val="5EC17A7B"/>
    <w:rsid w:val="643F4357"/>
    <w:rsid w:val="64F66EDD"/>
    <w:rsid w:val="65637EF9"/>
    <w:rsid w:val="66FA2D19"/>
    <w:rsid w:val="68710765"/>
    <w:rsid w:val="6A36147E"/>
    <w:rsid w:val="6AB3244B"/>
    <w:rsid w:val="6DDF3F40"/>
    <w:rsid w:val="6E2F1C89"/>
    <w:rsid w:val="71E75E42"/>
    <w:rsid w:val="745B159E"/>
    <w:rsid w:val="75236427"/>
    <w:rsid w:val="7B6C67C9"/>
    <w:rsid w:val="7C6A5EC3"/>
    <w:rsid w:val="7D021C2A"/>
    <w:rsid w:val="7D5E5A0C"/>
    <w:rsid w:val="7FBA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p0"/>
    <w:basedOn w:val="1"/>
    <w:qFormat/>
    <w:uiPriority w:val="0"/>
    <w:pPr>
      <w:widowControl/>
    </w:pPr>
    <w:rPr>
      <w:kern w:val="0"/>
      <w:szCs w:val="21"/>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paragraph" w:customStyle="1" w:styleId="9">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7FFBDA-3664-4E8A-A8B1-8992A258A544}">
  <ds:schemaRefs/>
</ds:datastoreItem>
</file>

<file path=docProps/app.xml><?xml version="1.0" encoding="utf-8"?>
<Properties xmlns="http://schemas.openxmlformats.org/officeDocument/2006/extended-properties" xmlns:vt="http://schemas.openxmlformats.org/officeDocument/2006/docPropsVTypes">
  <Template>Normal</Template>
  <Pages>12</Pages>
  <Words>964</Words>
  <Characters>5498</Characters>
  <Lines>45</Lines>
  <Paragraphs>12</Paragraphs>
  <TotalTime>8</TotalTime>
  <ScaleCrop>false</ScaleCrop>
  <LinksUpToDate>false</LinksUpToDate>
  <CharactersWithSpaces>6450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2019-12-24T07:26:00Z</dcterms:created>
  <dc:creator>Stela</dc:creator>
  <cp:lastModifiedBy>Administrator</cp:lastModifiedBy>
  <cp:lastPrinted>2017-03-27T02:10:00Z</cp:lastPrinted>
  <dcterms:modified xsi:type="dcterms:W3CDTF">2024-08-14T08:55:52Z</dcterms:modified>
  <dc:title>中共沙河市委党校</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E74B5729E5714B7C85409B4DF2C48F8F</vt:lpwstr>
  </property>
</Properties>
</file>