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exact"/>
        <w:ind w:right="0" w:firstLine="2640" w:firstLineChars="6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ascii="方正小标宋简体" w:hAnsi="宋体" w:eastAsia="方正小标宋简体" w:cs="仿宋_GB2312"/>
          <w:i w:val="0"/>
          <w:kern w:val="2"/>
          <w:sz w:val="44"/>
          <w:szCs w:val="44"/>
          <w:u w:val="none"/>
          <w:bdr w:val="none" w:color="auto" w:sz="0" w:space="0"/>
          <w:lang w:val="en-US" w:eastAsia="zh-CN" w:bidi="ar"/>
        </w:rPr>
        <w:t>沙河市</w:t>
      </w:r>
      <w:r>
        <w:rPr>
          <w:rFonts w:hint="eastAsia" w:ascii="方正小标宋简体" w:hAnsi="宋体" w:eastAsia="方正小标宋简体" w:cs="仿宋_GB2312"/>
          <w:i w:val="0"/>
          <w:kern w:val="2"/>
          <w:sz w:val="44"/>
          <w:szCs w:val="44"/>
          <w:u w:val="none"/>
          <w:bdr w:val="none" w:color="auto" w:sz="0" w:space="0"/>
          <w:lang w:val="en-US" w:eastAsia="zh-CN" w:bidi="ar"/>
        </w:rPr>
        <w:t>供销合作社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exact"/>
        <w:ind w:left="0" w:right="0"/>
        <w:jc w:val="center"/>
        <w:rPr>
          <w:rFonts w:hint="eastAsia" w:ascii="方正小标宋简体" w:hAnsi="宋体" w:eastAsia="方正小标宋简体" w:cs="Times New Roman"/>
          <w:i w:val="0"/>
          <w:kern w:val="2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i w:val="0"/>
          <w:kern w:val="2"/>
          <w:sz w:val="44"/>
          <w:szCs w:val="44"/>
          <w:u w:val="none"/>
          <w:bdr w:val="none" w:color="auto" w:sz="0" w:space="0"/>
          <w:lang w:val="en-US" w:eastAsia="zh-CN" w:bidi="ar"/>
        </w:rPr>
        <w:t>2023年政府信息公开工作年度报告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exact"/>
        <w:ind w:left="0" w:right="0"/>
        <w:jc w:val="center"/>
        <w:rPr>
          <w:rFonts w:hint="eastAsia" w:ascii="方正小标宋简体" w:hAnsi="宋体" w:eastAsia="方正小标宋简体" w:cs="Times New Roman"/>
          <w:i w:val="0"/>
          <w:kern w:val="2"/>
          <w:sz w:val="44"/>
          <w:szCs w:val="44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</w:rPr>
        <w:t>本年度报告依据《中华人民共和国政府信息公开条例》《中华人民共和国政府信息公开工作年度报告格式》和省、市政务公开工作要求，发布本年度报告，年报中所列数据的统计期限为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</w:rPr>
        <w:t>2023年1月1日至12月31日。如对本年报有任何疑问，请与沙河市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供销社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</w:rPr>
        <w:t>办公室联系，联系电话：0319-8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931234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ascii="黑体" w:hAnsi="宋体" w:eastAsia="黑体" w:cs="黑体"/>
          <w:i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微软雅黑" w:cs="Times New Roman"/>
          <w:i w:val="0"/>
          <w:color w:val="00000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2023年，我</w:t>
      </w:r>
      <w:r>
        <w:rPr>
          <w:rFonts w:hint="eastAsia" w:ascii="仿宋_GB2312" w:eastAsia="仿宋_GB2312" w:cs="仿宋_GB2312"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单位</w:t>
      </w:r>
      <w:r>
        <w:rPr>
          <w:rFonts w:hint="eastAsia" w:ascii="仿宋_GB2312" w:hAnsi="微软雅黑" w:eastAsia="仿宋_GB2312" w:cs="仿宋_GB2312"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认真落实河北省、邢台市和沙河市政府工作要求，紧紧围绕主动公开、依申请公开、政府信息管理、平台建设、监督保障等方面的内容，全力推动全市政务公开工作提质提效。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ascii="楷体_GB2312" w:hAnsi="微软雅黑" w:eastAsia="楷体_GB2312" w:cs="楷体_GB2312"/>
          <w:i w:val="0"/>
          <w:sz w:val="32"/>
          <w:szCs w:val="32"/>
          <w:u w:val="none"/>
          <w:bdr w:val="none" w:color="auto" w:sz="0" w:space="0"/>
          <w:shd w:val="clear" w:fill="FFFFFF"/>
        </w:rPr>
        <w:t>（一）主动公开方面。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2023年，我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/>
        </w:rPr>
        <w:t>单位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在政府网站上发布信息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/>
        </w:rPr>
        <w:t>12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条。其中，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/>
        </w:rPr>
        <w:t>工作动态9条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、政府信息公开年报1条、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/>
        </w:rPr>
        <w:t>财政预算2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60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楷体_GB2312" w:hAnsi="微软雅黑" w:eastAsia="楷体_GB2312" w:cs="楷体_GB2312"/>
          <w:i w:val="0"/>
          <w:sz w:val="32"/>
          <w:szCs w:val="32"/>
          <w:u w:val="none"/>
          <w:bdr w:val="none" w:color="auto" w:sz="0" w:space="0"/>
          <w:shd w:val="clear" w:fill="FFFFFF"/>
        </w:rPr>
        <w:t>（二）依申请公开方面。</w:t>
      </w:r>
      <w:r>
        <w:rPr>
          <w:rFonts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严格执行《河北省政府信息公开申请办理规范》，推进依申请公开工作规范化标准化。在政府信息公开平台完善了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“政府信息公开指南”栏目，方便群众申请。2023年我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单位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无因政府信息公开引起的行政诉讼和行政复议</w:t>
      </w:r>
      <w:r>
        <w:rPr>
          <w:rFonts w:hint="eastAsia" w:ascii="仿宋_GB2312" w:hAnsi="等线" w:eastAsia="仿宋_GB2312" w:cs="Times New Roman"/>
          <w:i w:val="0"/>
          <w:kern w:val="2"/>
          <w:sz w:val="32"/>
          <w:szCs w:val="32"/>
          <w:u w:val="none"/>
          <w:bdr w:val="none" w:color="auto" w:sz="0" w:space="0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楷体_GB2312" w:hAnsi="微软雅黑" w:eastAsia="楷体_GB2312" w:cs="楷体_GB2312"/>
          <w:i w:val="0"/>
          <w:sz w:val="32"/>
          <w:szCs w:val="32"/>
          <w:u w:val="none"/>
          <w:bdr w:val="none" w:color="auto" w:sz="0" w:space="0"/>
          <w:shd w:val="clear" w:fill="FFFFFF"/>
        </w:rPr>
        <w:t>（三）政府信息管理方面。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我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/>
        </w:rPr>
        <w:t>单位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明确专人负责政务信息公开工作，编制《政务信息公开审批单》，进一步严格公开审批程序，要求在政府信息公开平台公开信息前，经相关责任人和主管领导审阅签批方可公开。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0" w:afterAutospacing="0" w:line="60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楷体_GB2312" w:hAnsi="微软雅黑" w:eastAsia="楷体_GB2312" w:cs="楷体_GB2312"/>
          <w:i w:val="0"/>
          <w:sz w:val="32"/>
          <w:szCs w:val="32"/>
          <w:u w:val="none"/>
          <w:bdr w:val="none" w:color="auto" w:sz="0" w:space="0"/>
          <w:shd w:val="clear" w:fill="FFFFFF"/>
        </w:rPr>
        <w:t>(四)政府信息公开平台建设方面。</w:t>
      </w:r>
      <w:r>
        <w:rPr>
          <w:rFonts w:ascii="仿宋_GB2312" w:hAnsi="等线" w:eastAsia="仿宋_GB2312" w:cs="Times New Roman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我</w:t>
      </w:r>
      <w:r>
        <w:rPr>
          <w:rFonts w:hint="eastAsia" w:ascii="仿宋_GB2312" w:hAnsi="等线" w:eastAsia="仿宋_GB2312" w:cs="Times New Roman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单位</w:t>
      </w:r>
      <w:r>
        <w:rPr>
          <w:rFonts w:ascii="仿宋_GB2312" w:hAnsi="等线" w:eastAsia="仿宋_GB2312" w:cs="Times New Roman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认真贯彻落实市委、市政府关于政府信息公开工作的部署和要求，加强对政务公开工作的组织领导，成立了政务公开领导小组，落实责任，明确分工。分管</w:t>
      </w:r>
      <w:r>
        <w:rPr>
          <w:rFonts w:hint="eastAsia" w:ascii="仿宋_GB2312" w:hAnsi="等线" w:eastAsia="仿宋_GB2312" w:cs="Times New Roman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主任</w:t>
      </w:r>
      <w:r>
        <w:rPr>
          <w:rFonts w:ascii="仿宋_GB2312" w:hAnsi="等线" w:eastAsia="仿宋_GB2312" w:cs="Times New Roman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任组长，办公室主任任副组长，相关科室</w:t>
      </w:r>
      <w:r>
        <w:rPr>
          <w:rFonts w:hint="eastAsia" w:ascii="仿宋_GB2312" w:hAnsi="等线" w:eastAsia="仿宋_GB2312" w:cs="Times New Roman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负责人为成员。领导小组负责协调跟踪督办市社机关政务公开的日常工作，为推动我单位政务公开工作深入开展提供坚强的组织保证。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</w:pPr>
      <w:r>
        <w:rPr>
          <w:rFonts w:hint="eastAsia" w:ascii="楷体_GB2312" w:hAnsi="微软雅黑" w:eastAsia="楷体_GB2312" w:cs="楷体_GB2312"/>
          <w:i w:val="0"/>
          <w:sz w:val="32"/>
          <w:szCs w:val="32"/>
          <w:u w:val="none"/>
          <w:bdr w:val="none" w:color="auto" w:sz="0" w:space="0"/>
          <w:shd w:val="clear" w:fill="FFFFFF"/>
        </w:rPr>
        <w:t>(五)强化监督保障方面。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坚持把公开透明作为</w:t>
      </w:r>
      <w:r>
        <w:rPr>
          <w:rFonts w:hint="eastAsia" w:ascii="仿宋_GB2312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lang w:val="en-US" w:eastAsia="zh-CN"/>
        </w:rPr>
        <w:t>供销合作社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  <w:t>的基本要求，把信息发布质量作为工作重点，综合运用各种手段，从信息编辑到网上公布层层审核，确保文字准确性，与市政府办检测系统联动，针对错别字、不规范表述、错误格式、无效链接等及时反馈修改，信息公开质量和数量都有显著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ascii="黑体" w:hAnsi="宋体" w:eastAsia="黑体" w:cs="黑体"/>
          <w:i w:val="0"/>
          <w:kern w:val="2"/>
          <w:sz w:val="32"/>
          <w:szCs w:val="32"/>
          <w:u w:val="none"/>
          <w:bdr w:val="none" w:color="auto" w:sz="0" w:space="0"/>
          <w:lang w:val="en-US" w:eastAsia="zh-CN" w:bidi="ar"/>
        </w:rPr>
        <w:t>二、主动公开政府信息情况</w:t>
      </w:r>
    </w:p>
    <w:tbl>
      <w:tblPr>
        <w:tblW w:w="8240" w:type="dxa"/>
        <w:jc w:val="center"/>
        <w:tblInd w:w="9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微软雅黑" w:hAnsi="微软雅黑" w:eastAsia="微软雅黑" w:cs="微软雅黑"/>
          <w:i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黑体" w:hAnsi="宋体" w:eastAsia="黑体" w:cs="黑体"/>
          <w:i w:val="0"/>
          <w:kern w:val="2"/>
          <w:sz w:val="32"/>
          <w:szCs w:val="32"/>
          <w:u w:val="none"/>
          <w:bdr w:val="none" w:color="auto" w:sz="0" w:space="0"/>
          <w:lang w:val="en-US" w:eastAsia="zh-CN" w:bidi="ar"/>
        </w:rPr>
        <w:t>三、收到和处理政府信息公开申请情况</w:t>
      </w:r>
    </w:p>
    <w:tbl>
      <w:tblPr>
        <w:tblW w:w="8359" w:type="dxa"/>
        <w:jc w:val="center"/>
        <w:tblInd w:w="82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ascii="楷体" w:hAnsi="楷体" w:eastAsia="楷体" w:cs="楷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000000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000000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黑体" w:hAnsi="宋体" w:eastAsia="黑体" w:cs="黑体"/>
          <w:i w:val="0"/>
          <w:kern w:val="2"/>
          <w:sz w:val="32"/>
          <w:szCs w:val="32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54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黑体" w:hAnsi="宋体" w:eastAsia="黑体" w:cs="黑体"/>
          <w:i w:val="0"/>
          <w:kern w:val="2"/>
          <w:sz w:val="32"/>
          <w:szCs w:val="32"/>
          <w:u w:val="none"/>
          <w:bdr w:val="none" w:color="auto" w:sz="0" w:space="0"/>
          <w:lang w:val="en-US" w:eastAsia="zh-CN" w:bidi="ar"/>
        </w:rPr>
        <w:t>四、政府信息公开行政复议、行政诉讼情况</w:t>
      </w:r>
    </w:p>
    <w:tbl>
      <w:tblPr>
        <w:tblW w:w="8659" w:type="dxa"/>
        <w:jc w:val="center"/>
        <w:tblInd w:w="-68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exact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60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黑体" w:hAnsi="宋体" w:eastAsia="黑体" w:cs="黑体"/>
          <w:i w:val="0"/>
          <w:kern w:val="1"/>
          <w:sz w:val="32"/>
          <w:szCs w:val="32"/>
          <w:u w:val="none"/>
          <w:bdr w:val="none" w:color="auto" w:sz="0" w:space="0"/>
          <w:lang w:val="en-US" w:eastAsia="zh-CN" w:bidi="ar"/>
        </w:rPr>
        <w:t>五、下一步努力方向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0" w:afterAutospacing="0" w:line="600" w:lineRule="exact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ascii="仿宋_GB2312" w:hAnsi="微软雅黑" w:eastAsia="仿宋_GB2312" w:cs="仿宋_GB2312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我</w:t>
      </w:r>
      <w:r>
        <w:rPr>
          <w:rFonts w:hint="eastAsia" w:ascii="仿宋_GB2312" w:eastAsia="仿宋_GB2312" w:cs="仿宋_GB2312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单位</w:t>
      </w:r>
      <w:r>
        <w:rPr>
          <w:rFonts w:hint="eastAsia" w:ascii="仿宋_GB2312" w:hAnsi="微软雅黑" w:eastAsia="仿宋_GB2312" w:cs="仿宋_GB2312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将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继续严格按照上级相关文件精神</w:t>
      </w:r>
      <w:r>
        <w:rPr>
          <w:rFonts w:hint="eastAsia" w:ascii="仿宋_GB2312" w:hAnsi="微软雅黑" w:eastAsia="仿宋_GB2312" w:cs="仿宋_GB2312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落实政务公开工作。在今后的工作中，加强组织领导，主动公开，进一步明确解读范围、落实解读责任、规范解读流程，加强和改进政策性文件政策解读工作，加强</w:t>
      </w:r>
      <w:r>
        <w:rPr>
          <w:rFonts w:hint="eastAsia" w:ascii="仿宋_GB2312" w:eastAsia="仿宋_GB2312" w:cs="仿宋_GB2312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供销合作社</w:t>
      </w:r>
      <w:r>
        <w:rPr>
          <w:rFonts w:hint="eastAsia" w:ascii="仿宋_GB2312" w:hAnsi="微软雅黑" w:eastAsia="仿宋_GB2312" w:cs="仿宋_GB2312"/>
          <w:i w:val="0"/>
          <w:kern w:val="2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信息公开力度。加强对业务人员的培训，强化信息公开工作队伍建设，进一步规范政府信息公开工作</w:t>
      </w:r>
      <w:r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600" w:lineRule="exac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黑体" w:hAnsi="宋体" w:eastAsia="黑体" w:cs="黑体"/>
          <w:i w:val="0"/>
          <w:kern w:val="2"/>
          <w:sz w:val="32"/>
          <w:szCs w:val="32"/>
          <w:u w:val="none"/>
          <w:bdr w:val="none" w:color="auto" w:sz="0" w:space="0"/>
          <w:lang w:val="en-US" w:eastAsia="zh-CN" w:bidi="ar"/>
        </w:rPr>
        <w:t>六、其他需要报告的事项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600" w:lineRule="exac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Fonts w:hint="eastAsia" w:ascii="仿宋_GB2312" w:hAnsi="微软雅黑" w:eastAsia="仿宋_GB2312" w:cs="仿宋_GB2312"/>
          <w:i w:val="0"/>
          <w:kern w:val="2"/>
          <w:sz w:val="32"/>
          <w:szCs w:val="32"/>
          <w:u w:val="none"/>
          <w:bdr w:val="none" w:color="auto" w:sz="0" w:space="0"/>
          <w:lang w:val="en-US" w:eastAsia="zh-CN" w:bidi="ar"/>
        </w:rPr>
        <w:t>认真贯彻执行国务院办公厅《政府信息公开信息处理费管理办法》和《关于政府信息公开处理费管理有关事项的通知》。2023年我单位未收取信息处理费。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仿宋_GB2312" w:hAnsi="微软雅黑" w:eastAsia="仿宋_GB2312" w:cs="仿宋_GB2312"/>
          <w:i w:val="0"/>
          <w:kern w:val="0"/>
          <w:sz w:val="32"/>
          <w:szCs w:val="32"/>
          <w:u w:val="none"/>
          <w:bdr w:val="none" w:color="auto" w:sz="0" w:space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7634B"/>
    <w:rsid w:val="140A006B"/>
    <w:rsid w:val="19AC03E6"/>
    <w:rsid w:val="382310BD"/>
    <w:rsid w:val="3CA03BA3"/>
    <w:rsid w:val="3D033090"/>
    <w:rsid w:val="3F45253A"/>
    <w:rsid w:val="54F17F10"/>
    <w:rsid w:val="582B6892"/>
    <w:rsid w:val="583449B2"/>
    <w:rsid w:val="5E4B7BA7"/>
    <w:rsid w:val="5EB82143"/>
    <w:rsid w:val="63B55AA2"/>
    <w:rsid w:val="69A90F1D"/>
    <w:rsid w:val="7A401316"/>
    <w:rsid w:val="7EE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800080"/>
      <w:u w:val="none"/>
      <w:bdr w:val="none" w:color="auto" w:sz="0" w:space="0"/>
    </w:rPr>
  </w:style>
  <w:style w:type="character" w:styleId="5">
    <w:name w:val="Emphasis"/>
    <w:basedOn w:val="3"/>
    <w:qFormat/>
    <w:uiPriority w:val="0"/>
    <w:rPr>
      <w:rFonts w:hint="eastAsia" w:ascii="微软雅黑" w:hAnsi="微软雅黑" w:eastAsia="微软雅黑" w:cs="微软雅黑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0000FF"/>
      <w:u w:val="none"/>
      <w:bdr w:val="none" w:color="auto" w:sz="0" w:space="0"/>
    </w:rPr>
  </w:style>
  <w:style w:type="character" w:customStyle="1" w:styleId="8">
    <w:name w:val="yzm"/>
    <w:basedOn w:val="3"/>
    <w:uiPriority w:val="0"/>
  </w:style>
  <w:style w:type="character" w:customStyle="1" w:styleId="9">
    <w:name w:val="active"/>
    <w:basedOn w:val="3"/>
    <w:uiPriority w:val="0"/>
    <w:rPr>
      <w:color w:val="FFFFFF"/>
      <w:shd w:val="clear" w:fill="0066CB"/>
    </w:rPr>
  </w:style>
  <w:style w:type="character" w:customStyle="1" w:styleId="10">
    <w:name w:val="fr"/>
    <w:basedOn w:val="3"/>
    <w:uiPriority w:val="0"/>
  </w:style>
  <w:style w:type="character" w:customStyle="1" w:styleId="11">
    <w:name w:val="hover"/>
    <w:basedOn w:val="3"/>
    <w:uiPriority w:val="0"/>
    <w:rPr>
      <w:color w:val="FFFFFF"/>
      <w:shd w:val="clear" w:fill="0066CB"/>
    </w:rPr>
  </w:style>
  <w:style w:type="character" w:customStyle="1" w:styleId="12">
    <w:name w:val="new"/>
    <w:basedOn w:val="3"/>
    <w:uiPriority w:val="0"/>
    <w:rPr>
      <w:color w:val="FFFFFF"/>
      <w:bdr w:val="none" w:color="auto" w:sz="0" w:space="0"/>
      <w:shd w:val="clear" w:fill="0066CB"/>
    </w:rPr>
  </w:style>
  <w:style w:type="character" w:customStyle="1" w:styleId="13">
    <w:name w:val="fr2"/>
    <w:basedOn w:val="3"/>
    <w:uiPriority w:val="0"/>
  </w:style>
  <w:style w:type="character" w:customStyle="1" w:styleId="14">
    <w:name w:val="hover18"/>
    <w:basedOn w:val="3"/>
    <w:uiPriority w:val="0"/>
    <w:rPr>
      <w:color w:val="FFFFFF"/>
      <w:shd w:val="clear" w:fill="0066CB"/>
    </w:rPr>
  </w:style>
  <w:style w:type="character" w:customStyle="1" w:styleId="15">
    <w:name w:val="active1"/>
    <w:basedOn w:val="3"/>
    <w:uiPriority w:val="0"/>
    <w:rPr>
      <w:color w:val="FFFFFF"/>
      <w:shd w:val="clear" w:fill="0066CB"/>
    </w:rPr>
  </w:style>
  <w:style w:type="character" w:customStyle="1" w:styleId="16">
    <w:name w:val="yzm2"/>
    <w:basedOn w:val="3"/>
    <w:uiPriority w:val="0"/>
  </w:style>
  <w:style w:type="character" w:customStyle="1" w:styleId="17">
    <w:name w:val="hover17"/>
    <w:basedOn w:val="3"/>
    <w:uiPriority w:val="0"/>
    <w:rPr>
      <w:color w:val="FFFFFF"/>
      <w:shd w:val="clear" w:fill="0066C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2024-01-24T08:13:42Z</dcterms:created>
  <dc:creator>Administrator</dc:creator>
  <cp:lastModifiedBy>Administrator</cp:lastModifiedBy>
  <dcterms:modified xsi:type="dcterms:W3CDTF">2024-01-24T08:38:59Z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