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400" w:lineRule="auto"/>
        <w:ind w:left="0" w:right="0" w:firstLine="0"/>
        <w:jc w:val="left"/>
        <w:rPr>
          <w:rFonts w:ascii="仿宋" w:hAnsi="仿宋" w:eastAsia="仿宋" w:cs="仿宋"/>
          <w:color w:val="auto"/>
          <w:spacing w:val="0"/>
          <w:position w:val="0"/>
          <w:sz w:val="32"/>
          <w:shd w:val="clear" w:fill="FFFFFF"/>
        </w:rPr>
      </w:pPr>
      <w:bookmarkStart w:id="0" w:name="_GoBack"/>
      <w:bookmarkEnd w:id="0"/>
    </w:p>
    <w:p>
      <w:pPr>
        <w:widowControl w:val="0"/>
        <w:spacing w:before="0" w:after="0" w:line="480" w:lineRule="auto"/>
        <w:ind w:left="0" w:right="0" w:firstLine="0"/>
        <w:jc w:val="left"/>
        <w:rPr>
          <w:rFonts w:ascii="宋体" w:hAnsi="宋体" w:eastAsia="宋体" w:cs="宋体"/>
          <w:b/>
          <w:color w:val="000000"/>
          <w:spacing w:val="0"/>
          <w:position w:val="0"/>
          <w:sz w:val="44"/>
          <w:shd w:val="clear" w:fill="FFFFFF"/>
        </w:rPr>
      </w:pPr>
      <w:r>
        <w:rPr>
          <w:rFonts w:ascii="仿宋" w:hAnsi="仿宋" w:eastAsia="仿宋" w:cs="仿宋"/>
          <w:color w:val="auto"/>
          <w:spacing w:val="0"/>
          <w:position w:val="0"/>
          <w:sz w:val="32"/>
          <w:shd w:val="clear" w:fill="FFFFFF"/>
        </w:rPr>
        <w:t>附件1：</w:t>
      </w:r>
    </w:p>
    <w:p>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6"/>
        <w:tblW w:w="0" w:type="auto"/>
        <w:tblInd w:w="0" w:type="dxa"/>
        <w:tblLayout w:type="autofit"/>
        <w:tblCellMar>
          <w:top w:w="0" w:type="dxa"/>
          <w:left w:w="10" w:type="dxa"/>
          <w:bottom w:w="0" w:type="dxa"/>
          <w:right w:w="10" w:type="dxa"/>
        </w:tblCellMar>
      </w:tblPr>
      <w:tblGrid>
        <w:gridCol w:w="846"/>
        <w:gridCol w:w="846"/>
        <w:gridCol w:w="1163"/>
        <w:gridCol w:w="2898"/>
        <w:gridCol w:w="2085"/>
        <w:gridCol w:w="684"/>
      </w:tblGrid>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06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变动率（2分）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部门本年度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预算数与上年度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预算数的变动比率，用以反映和考核部门对控制重点行政成本的努力程度。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变动率=[（本年度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总额]×100%。</w:t>
            </w:r>
          </w:p>
          <w:p>
            <w:pPr>
              <w:widowControl w:val="0"/>
              <w:spacing w:before="0" w:after="0" w:line="240" w:lineRule="auto"/>
              <w:ind w:left="0" w:right="0" w:firstLine="0"/>
              <w:jc w:val="left"/>
              <w:rPr>
                <w:spacing w:val="0"/>
                <w:position w:val="0"/>
                <w:shd w:val="clear" w:fill="auto"/>
              </w:rPr>
            </w:pP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：年度预算安排的因公出国（境）费、公务车辆购置及运行费和公务招待费。</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项目总支出：部门（单位）年度预算安排的项目支出总额。</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pPr>
              <w:widowControl w:val="0"/>
              <w:spacing w:before="0" w:after="0" w:line="240" w:lineRule="auto"/>
              <w:ind w:left="0" w:right="0" w:firstLine="0"/>
              <w:jc w:val="left"/>
              <w:rPr>
                <w:color w:val="auto"/>
                <w:spacing w:val="0"/>
                <w:position w:val="0"/>
                <w:shd w:val="clear" w:fill="auto"/>
              </w:rPr>
            </w:pP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8</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cs="宋体"/>
                <w:color w:val="auto"/>
                <w:spacing w:val="0"/>
                <w:position w:val="0"/>
                <w:sz w:val="21"/>
                <w:shd w:val="clear" w:fill="auto"/>
                <w:lang w:eastAsia="zh-CN"/>
              </w:rPr>
              <w:t>账</w:t>
            </w:r>
            <w:r>
              <w:rPr>
                <w:rFonts w:ascii="宋体" w:hAnsi="宋体" w:eastAsia="宋体" w:cs="宋体"/>
                <w:color w:val="auto"/>
                <w:spacing w:val="0"/>
                <w:position w:val="0"/>
                <w:sz w:val="21"/>
                <w:shd w:val="clear" w:fill="auto"/>
              </w:rPr>
              <w:t>实相符；</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根据年度主要任务分解表的具体任务，逐项评价任务量化指标完成情况、实施效果和责任制建立情况。用以反映和考核部门（单位）履职工作任务目标的完成情况。评价要点：</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1.每项任务是否已制定了明确、具体、可量化、可衡量的绩效指标；           </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2.每项任务绩效指标的完成情况，是全部完成、基本完成、未完成，还是未实施；</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3.每项任务实施效果情况，是优秀、良好、一般，还是无效果；</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4.每项任务是否建立了目标责任制，是否落实到具体部门和人员负责。</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10</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15</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1.通过部门所属企事业单位改革，促进了企事业单位效益增长情况；          </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2.通过预算支出项目的实施，促进了行业生产能力增长，从而带动行业经济效益增长；</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3.通过预算支出项目的实施，有效提高劳动效率，节约成本费用；</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4.通过预算支出项目的实施，降低了损耗，从而提高了生产效益；</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2.通过预算支出项目的实施，是否明显促进了行业精神文明建设；</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p>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5.通过部门履职行业形象是否得到了大大提升了，增强了部门影响力。</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3.通过预算支出项目的实施，是否达到减少污染物排放；</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4.通过预算支出项目的实施，周围环境得到了整治，面貌得到了改善。</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bl>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color w:val="auto"/>
          <w:spacing w:val="0"/>
          <w:position w:val="0"/>
          <w:sz w:val="32"/>
          <w:shd w:val="clear" w:fill="auto"/>
        </w:rPr>
      </w:pPr>
    </w:p>
    <w:p>
      <w:pPr>
        <w:numPr>
          <w:ilvl w:val="0"/>
          <w:numId w:val="0"/>
        </w:numPr>
        <w:spacing w:before="0" w:after="0" w:line="240" w:lineRule="auto"/>
        <w:ind w:right="0" w:rightChars="0"/>
        <w:jc w:val="both"/>
        <w:rPr>
          <w:rFonts w:ascii="仿宋" w:hAnsi="仿宋" w:eastAsia="仿宋" w:cs="仿宋"/>
          <w:color w:val="auto"/>
          <w:spacing w:val="0"/>
          <w:position w:val="0"/>
          <w:sz w:val="32"/>
          <w:shd w:val="clear" w:fill="auto"/>
        </w:rPr>
      </w:pPr>
    </w:p>
    <w:p>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lang w:val="en-US" w:eastAsia="zh-CN"/>
        </w:rPr>
        <w:t>基本概况</w:t>
      </w:r>
    </w:p>
    <w:p>
      <w:pPr>
        <w:spacing w:line="61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部门职责：</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w:t>
      </w:r>
      <w:r>
        <w:rPr>
          <w:rFonts w:hint="eastAsia" w:ascii="仿宋_GB2312" w:hAnsi="仿宋" w:eastAsia="仿宋_GB2312" w:cs="仿宋"/>
          <w:sz w:val="32"/>
          <w:szCs w:val="32"/>
        </w:rPr>
        <w:t>一）负责起草卫生和计划生育、中医药事业发展的地方性规章制度，拟订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负责制定疾病预防控制规划，负责组织实施国家免疫规划，开展严重危害人民健康的公共卫生问题的干预。制定卫生应急和紧急医学救援预案、突发公共卫生事件监测和风险评估计划，组织和指导突发公共卫生事件预防控制和各类突发公共事件的医疗卫生救援，根据授权发布法定报告传染病疫情信息、突发公共卫生事件应急处置信息。</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负责制定职责范围内的职业卫生、放射卫生、环境卫生、学校卫生、公共场所卫生、饮用水卫生管理规范和政策措施，组织开展相关监测、调查、评估和监督，负责传染病防治监督。组织开展食品安全风险监测，配合开展有关评估工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负责制定医疗机构和医疗服务全行业管理办法并监督实施。制定医疗机构及其医疗服务、医疗技术、医疗质量、医疗安全以及采供血机构管理的规范并组织实施，会同有关部门组织实施卫生专业技术人员准入。实施卫生专业技术人员执业规则和服务规范，建立医疗服务评价和监督管理体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（六）负责组织推进公立医院改革，建立公益性为导向的绩效考核和评价运行机制，建设和谐医患关系，提出医疗服务和药品价格政策的建议。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组织实施国家基本药物制度；组织落实省定药物政策；拟订基本药物采购、配送、使用的管理措施，监督和规范各级医疗机构基本药物使用，会同有关部门落实基本药物目录内药品生产的鼓励扶持政策和基本药物价格政策，提出全市基本药物价格政策的建议。</w:t>
      </w:r>
      <w:r>
        <w:rPr>
          <w:rFonts w:ascii="仿宋_GB2312" w:hAnsi="仿宋" w:eastAsia="仿宋_GB2312" w:cs="仿宋"/>
          <w:sz w:val="32"/>
          <w:szCs w:val="32"/>
        </w:rPr>
        <w:t xml:space="preserve">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贯彻落实计划生育工作的方针、政策，组织监测计划生育发展动态，提出发布计划生育安全预警预报信息建议，负责出生人口性别比的综合治理工作。制定计划生育技术服务管理制度并监督实施。负责再生育审核报批工作。拟订优生优育和提高出生人口素质的政策措施并组织实施，推动实施计划生育生殖健康促进计划，降低出生缺陷人口数量。</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（十）制定流动人口计划生育服务管理制度并组织落实。负责流动人口计划生育区域协作，推动建立流动人口卫生和计划生育信息共享和公共服务工作机制。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（十一）组织拟</w:t>
      </w:r>
      <w:r>
        <w:rPr>
          <w:rFonts w:hint="eastAsia" w:ascii="仿宋_GB2312" w:hAnsi="仿宋" w:eastAsia="仿宋_GB2312" w:cs="仿宋"/>
          <w:sz w:val="32"/>
          <w:szCs w:val="32"/>
          <w:lang w:eastAsia="zh-CN"/>
        </w:rPr>
        <w:t>定</w:t>
      </w:r>
      <w:r>
        <w:rPr>
          <w:rFonts w:hint="eastAsia" w:ascii="仿宋_GB2312" w:hAnsi="仿宋" w:eastAsia="仿宋_GB2312" w:cs="仿宋"/>
          <w:sz w:val="32"/>
          <w:szCs w:val="32"/>
        </w:rPr>
        <w:t>卫生和计划生育人才发展规划，指导卫生和计划生育人才队伍建设。加强全科医生等急需紧缺专业人才培养，建立完善住院医师和专科医师规范化培训制度并指导实施。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（十二）组织拟</w:t>
      </w:r>
      <w:r>
        <w:rPr>
          <w:rFonts w:hint="eastAsia" w:ascii="仿宋_GB2312" w:hAnsi="仿宋" w:eastAsia="仿宋_GB2312" w:cs="仿宋"/>
          <w:sz w:val="32"/>
          <w:szCs w:val="32"/>
          <w:lang w:eastAsia="zh-CN"/>
        </w:rPr>
        <w:t>定</w:t>
      </w:r>
      <w:r>
        <w:rPr>
          <w:rFonts w:hint="eastAsia" w:ascii="仿宋_GB2312" w:hAnsi="仿宋" w:eastAsia="仿宋_GB2312" w:cs="仿宋"/>
          <w:sz w:val="32"/>
          <w:szCs w:val="32"/>
        </w:rPr>
        <w:t>卫生和计划生育科技发展规划，组织实施卫生和计划生育相关科研项目。会同有关部门制定医学教育发展规划和指导院校医学教育和计划生育教育，组织实施毕业后医学教育和继续医学教育。</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（十三）指导卫生和计划生育工作，完善综合监督执法体系，规范执法行为，监督检查法律法规和政策措施的落实，组织查处重大违法行为。坚持计划生育目标管理责任制，监督落实计划生育一票否决制。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（十四）负责卫生和计划生育宣传、健康教育、健康促进和信息化建设等工作，依法组织实施统计调查，参与人口基础信息库建设。组织指导国际交流合作与援外工作，开展与港澳台的交流与合作。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（十五）拟订中医药中长期发展规划，并纳入卫生和计划生育事业发展总体规划和战略目标。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（十六）负责市保健对象的医疗保健工作；负责重要会议与重大活动的医疗卫生保障工作。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（十七）承担市爱国卫生运动委员会、市深化医药卫生体制改革领导小组、市防治艾滋病工作委员会和市计划生育领导小组的日常工作。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（十八）承办市政府交办的其他事项。</w:t>
      </w:r>
    </w:p>
    <w:p>
      <w:pPr>
        <w:spacing w:line="560" w:lineRule="exact"/>
        <w:rPr>
          <w:rFonts w:ascii="仿宋_GB2312" w:eastAsia="仿宋_GB2312"/>
          <w:b/>
          <w:bCs/>
          <w:sz w:val="32"/>
          <w:szCs w:val="32"/>
        </w:rPr>
      </w:pPr>
      <w:r>
        <w:rPr>
          <w:rFonts w:hint="eastAsia" w:ascii="仿宋_GB2312" w:eastAsia="仿宋_GB2312"/>
          <w:b/>
          <w:bCs/>
          <w:sz w:val="32"/>
          <w:szCs w:val="32"/>
        </w:rPr>
        <w:t>机构设置：</w:t>
      </w:r>
    </w:p>
    <w:p>
      <w:pPr>
        <w:spacing w:line="610" w:lineRule="exact"/>
        <w:ind w:firstLine="640"/>
        <w:jc w:val="center"/>
        <w:rPr>
          <w:rFonts w:ascii="仿宋_GB2312" w:eastAsia="仿宋_GB2312"/>
          <w:sz w:val="32"/>
          <w:szCs w:val="32"/>
        </w:rPr>
      </w:pPr>
    </w:p>
    <w:tbl>
      <w:tblPr>
        <w:tblStyle w:val="6"/>
        <w:tblpPr w:leftFromText="180" w:rightFromText="180" w:vertAnchor="text" w:horzAnchor="page" w:tblpX="655" w:tblpY="35"/>
        <w:tblOverlap w:val="never"/>
        <w:tblW w:w="11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1879"/>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0" w:type="dxa"/>
          </w:tcPr>
          <w:p>
            <w:pPr>
              <w:spacing w:line="610" w:lineRule="exact"/>
              <w:jc w:val="center"/>
              <w:rPr>
                <w:rFonts w:ascii="仿宋_GB2312" w:eastAsia="仿宋_GB2312"/>
                <w:sz w:val="32"/>
                <w:szCs w:val="32"/>
              </w:rPr>
            </w:pPr>
            <w:r>
              <w:rPr>
                <w:rFonts w:hint="eastAsia" w:ascii="仿宋_GB2312" w:eastAsia="仿宋_GB2312"/>
                <w:sz w:val="32"/>
                <w:szCs w:val="32"/>
              </w:rPr>
              <w:t>单位名称</w:t>
            </w:r>
          </w:p>
        </w:tc>
        <w:tc>
          <w:tcPr>
            <w:tcW w:w="1879" w:type="dxa"/>
          </w:tcPr>
          <w:p>
            <w:pPr>
              <w:spacing w:line="610" w:lineRule="exact"/>
              <w:jc w:val="center"/>
              <w:rPr>
                <w:rFonts w:ascii="仿宋_GB2312" w:eastAsia="仿宋_GB2312"/>
                <w:sz w:val="32"/>
                <w:szCs w:val="32"/>
              </w:rPr>
            </w:pPr>
            <w:r>
              <w:rPr>
                <w:rFonts w:hint="eastAsia" w:ascii="仿宋_GB2312" w:eastAsia="仿宋_GB2312"/>
                <w:sz w:val="32"/>
                <w:szCs w:val="32"/>
              </w:rPr>
              <w:t>单位性质</w:t>
            </w:r>
          </w:p>
        </w:tc>
        <w:tc>
          <w:tcPr>
            <w:tcW w:w="2835" w:type="dxa"/>
          </w:tcPr>
          <w:p>
            <w:pPr>
              <w:spacing w:line="610" w:lineRule="exact"/>
              <w:jc w:val="center"/>
              <w:rPr>
                <w:rFonts w:ascii="仿宋_GB2312" w:eastAsia="仿宋_GB2312"/>
                <w:sz w:val="32"/>
                <w:szCs w:val="32"/>
              </w:rPr>
            </w:pPr>
            <w:r>
              <w:rPr>
                <w:rFonts w:hint="eastAsia" w:ascii="仿宋_GB2312" w:eastAsia="仿宋_GB2312"/>
                <w:sz w:val="32"/>
                <w:szCs w:val="32"/>
              </w:rPr>
              <w:t>单位规格</w:t>
            </w:r>
          </w:p>
        </w:tc>
        <w:tc>
          <w:tcPr>
            <w:tcW w:w="2835" w:type="dxa"/>
          </w:tcPr>
          <w:p>
            <w:pPr>
              <w:spacing w:line="610" w:lineRule="exact"/>
              <w:jc w:val="center"/>
              <w:rPr>
                <w:rFonts w:ascii="仿宋_GB2312" w:eastAsia="仿宋_GB2312"/>
                <w:sz w:val="32"/>
                <w:szCs w:val="32"/>
              </w:rPr>
            </w:pPr>
            <w:r>
              <w:rPr>
                <w:rFonts w:hint="eastAsia" w:ascii="仿宋_GB2312" w:eastAsia="仿宋_GB2312"/>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0" w:type="dxa"/>
          </w:tcPr>
          <w:p>
            <w:pPr>
              <w:spacing w:line="610" w:lineRule="exact"/>
              <w:jc w:val="center"/>
              <w:rPr>
                <w:rFonts w:ascii="仿宋_GB2312" w:eastAsia="仿宋_GB2312"/>
                <w:sz w:val="32"/>
                <w:szCs w:val="32"/>
              </w:rPr>
            </w:pPr>
            <w:r>
              <w:rPr>
                <w:rFonts w:hint="eastAsia" w:ascii="仿宋_GB2312" w:eastAsia="仿宋_GB2312"/>
                <w:sz w:val="32"/>
                <w:szCs w:val="32"/>
              </w:rPr>
              <w:t>沙河市卫生健康局</w:t>
            </w:r>
          </w:p>
        </w:tc>
        <w:tc>
          <w:tcPr>
            <w:tcW w:w="1879" w:type="dxa"/>
          </w:tcPr>
          <w:p>
            <w:pPr>
              <w:spacing w:line="610" w:lineRule="exact"/>
              <w:jc w:val="center"/>
              <w:rPr>
                <w:rFonts w:ascii="仿宋_GB2312" w:eastAsia="仿宋_GB2312"/>
                <w:sz w:val="32"/>
                <w:szCs w:val="32"/>
              </w:rPr>
            </w:pPr>
            <w:r>
              <w:rPr>
                <w:rFonts w:hint="eastAsia" w:ascii="仿宋_GB2312" w:eastAsia="仿宋_GB2312"/>
                <w:sz w:val="32"/>
                <w:szCs w:val="32"/>
              </w:rPr>
              <w:t>行政</w:t>
            </w:r>
          </w:p>
        </w:tc>
        <w:tc>
          <w:tcPr>
            <w:tcW w:w="2835" w:type="dxa"/>
          </w:tcPr>
          <w:p>
            <w:pPr>
              <w:spacing w:line="610" w:lineRule="exact"/>
              <w:jc w:val="center"/>
              <w:rPr>
                <w:rFonts w:ascii="仿宋_GB2312" w:eastAsia="仿宋_GB2312"/>
                <w:sz w:val="32"/>
                <w:szCs w:val="32"/>
              </w:rPr>
            </w:pPr>
            <w:r>
              <w:rPr>
                <w:rFonts w:hint="eastAsia" w:ascii="仿宋_GB2312" w:eastAsia="仿宋_GB2312"/>
                <w:sz w:val="32"/>
                <w:szCs w:val="32"/>
              </w:rPr>
              <w:t>正科级</w:t>
            </w:r>
          </w:p>
        </w:tc>
        <w:tc>
          <w:tcPr>
            <w:tcW w:w="2835" w:type="dxa"/>
          </w:tcPr>
          <w:p>
            <w:pPr>
              <w:spacing w:line="610" w:lineRule="exact"/>
              <w:jc w:val="center"/>
              <w:rPr>
                <w:rFonts w:ascii="仿宋_GB2312" w:eastAsia="仿宋_GB2312"/>
                <w:sz w:val="32"/>
                <w:szCs w:val="32"/>
              </w:rPr>
            </w:pPr>
            <w:r>
              <w:rPr>
                <w:rFonts w:hint="eastAsia" w:ascii="仿宋_GB2312" w:eastAsia="仿宋_GB2312"/>
                <w:sz w:val="32"/>
                <w:szCs w:val="32"/>
              </w:rPr>
              <w:t>财政拨款</w:t>
            </w:r>
          </w:p>
        </w:tc>
      </w:tr>
    </w:tbl>
    <w:p>
      <w:pPr>
        <w:numPr>
          <w:ilvl w:val="0"/>
          <w:numId w:val="0"/>
        </w:numPr>
        <w:spacing w:before="0" w:after="0" w:line="240" w:lineRule="auto"/>
        <w:ind w:right="0" w:rightChars="0"/>
        <w:jc w:val="both"/>
        <w:rPr>
          <w:rFonts w:hint="eastAsia" w:ascii="仿宋" w:hAnsi="仿宋" w:eastAsia="仿宋" w:cs="仿宋"/>
          <w:color w:val="auto"/>
          <w:spacing w:val="0"/>
          <w:position w:val="0"/>
          <w:sz w:val="32"/>
          <w:shd w:val="clear" w:fill="auto"/>
          <w:lang w:val="en-US" w:eastAsia="zh-CN"/>
        </w:rPr>
      </w:pPr>
    </w:p>
    <w:p>
      <w:pPr>
        <w:numPr>
          <w:ilvl w:val="0"/>
          <w:numId w:val="0"/>
        </w:numPr>
        <w:spacing w:before="0" w:after="0" w:line="240" w:lineRule="auto"/>
        <w:ind w:right="0" w:rightChars="0"/>
        <w:jc w:val="both"/>
        <w:rPr>
          <w:rFonts w:hint="eastAsia" w:ascii="仿宋" w:hAnsi="仿宋" w:eastAsia="仿宋" w:cs="仿宋"/>
          <w:b/>
          <w:bCs/>
          <w:sz w:val="32"/>
          <w:szCs w:val="32"/>
          <w:lang w:eastAsia="zh-CN"/>
        </w:rPr>
      </w:pPr>
      <w:r>
        <w:rPr>
          <w:rFonts w:hint="eastAsia" w:ascii="仿宋" w:hAnsi="仿宋" w:eastAsia="仿宋" w:cs="仿宋"/>
          <w:b/>
          <w:bCs/>
          <w:sz w:val="32"/>
          <w:szCs w:val="32"/>
        </w:rPr>
        <w:t>人员情况</w:t>
      </w:r>
      <w:r>
        <w:rPr>
          <w:rFonts w:hint="eastAsia" w:ascii="仿宋" w:hAnsi="仿宋" w:eastAsia="仿宋" w:cs="仿宋"/>
          <w:b/>
          <w:bCs/>
          <w:sz w:val="32"/>
          <w:szCs w:val="32"/>
          <w:lang w:eastAsia="zh-CN"/>
        </w:rPr>
        <w:t>：</w:t>
      </w:r>
    </w:p>
    <w:p>
      <w:pPr>
        <w:snapToGrid w:val="0"/>
        <w:spacing w:line="600" w:lineRule="exact"/>
        <w:ind w:left="-315" w:leftChars="-150" w:right="-315" w:rightChars="-150" w:firstLine="600" w:firstLineChars="200"/>
        <w:rPr>
          <w:rFonts w:hint="eastAsia" w:ascii="仿宋" w:hAnsi="仿宋" w:eastAsia="仿宋" w:cs="仿宋"/>
          <w:sz w:val="30"/>
          <w:szCs w:val="30"/>
        </w:rPr>
      </w:pPr>
      <w:r>
        <w:rPr>
          <w:rFonts w:hint="eastAsia" w:ascii="仿宋" w:hAnsi="仿宋" w:eastAsia="仿宋" w:cs="仿宋"/>
          <w:sz w:val="30"/>
          <w:szCs w:val="30"/>
        </w:rPr>
        <w:t>我部门干部职工在职人员共计13</w:t>
      </w:r>
      <w:r>
        <w:rPr>
          <w:rFonts w:hint="eastAsia" w:ascii="仿宋" w:hAnsi="仿宋" w:eastAsia="仿宋" w:cs="仿宋"/>
          <w:sz w:val="30"/>
          <w:szCs w:val="30"/>
          <w:lang w:val="en-US" w:eastAsia="zh-CN"/>
        </w:rPr>
        <w:t>31</w:t>
      </w:r>
      <w:r>
        <w:rPr>
          <w:rFonts w:hint="eastAsia" w:ascii="仿宋" w:hAnsi="仿宋" w:eastAsia="仿宋" w:cs="仿宋"/>
          <w:sz w:val="30"/>
          <w:szCs w:val="30"/>
        </w:rPr>
        <w:t>人，其中全额人员</w:t>
      </w:r>
      <w:r>
        <w:rPr>
          <w:rFonts w:hint="eastAsia" w:ascii="仿宋" w:hAnsi="仿宋" w:eastAsia="仿宋" w:cs="仿宋"/>
          <w:sz w:val="30"/>
          <w:szCs w:val="30"/>
          <w:lang w:val="en-US" w:eastAsia="zh-CN"/>
        </w:rPr>
        <w:t>86</w:t>
      </w:r>
      <w:r>
        <w:rPr>
          <w:rFonts w:hint="eastAsia" w:ascii="仿宋" w:hAnsi="仿宋" w:eastAsia="仿宋" w:cs="仿宋"/>
          <w:sz w:val="30"/>
          <w:szCs w:val="30"/>
        </w:rPr>
        <w:t>人，自收自支人员11</w:t>
      </w:r>
      <w:r>
        <w:rPr>
          <w:rFonts w:hint="eastAsia" w:ascii="仿宋" w:hAnsi="仿宋" w:eastAsia="仿宋" w:cs="仿宋"/>
          <w:sz w:val="30"/>
          <w:szCs w:val="30"/>
          <w:lang w:val="en-US" w:eastAsia="zh-CN"/>
        </w:rPr>
        <w:t>32</w:t>
      </w:r>
      <w:r>
        <w:rPr>
          <w:rFonts w:hint="eastAsia" w:ascii="仿宋" w:hAnsi="仿宋" w:eastAsia="仿宋" w:cs="仿宋"/>
          <w:sz w:val="30"/>
          <w:szCs w:val="30"/>
        </w:rPr>
        <w:t>人；退休人员</w:t>
      </w:r>
      <w:r>
        <w:rPr>
          <w:rFonts w:hint="eastAsia" w:ascii="仿宋" w:hAnsi="仿宋" w:eastAsia="仿宋" w:cs="仿宋"/>
          <w:sz w:val="30"/>
          <w:szCs w:val="30"/>
          <w:lang w:val="en-US" w:eastAsia="zh-CN"/>
        </w:rPr>
        <w:t>113</w:t>
      </w:r>
      <w:r>
        <w:rPr>
          <w:rFonts w:hint="eastAsia" w:ascii="仿宋" w:hAnsi="仿宋" w:eastAsia="仿宋" w:cs="仿宋"/>
          <w:sz w:val="30"/>
          <w:szCs w:val="30"/>
        </w:rPr>
        <w:t>人。</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资产情况：</w:t>
      </w:r>
    </w:p>
    <w:p>
      <w:pPr>
        <w:snapToGrid w:val="0"/>
        <w:spacing w:line="600" w:lineRule="exact"/>
        <w:ind w:left="-315" w:leftChars="-150" w:right="-315" w:rightChars="-150" w:firstLine="600" w:firstLineChars="200"/>
        <w:rPr>
          <w:rFonts w:hint="eastAsia" w:ascii="仿宋" w:hAnsi="仿宋" w:eastAsia="仿宋" w:cs="仿宋"/>
          <w:sz w:val="30"/>
          <w:szCs w:val="30"/>
        </w:rPr>
      </w:pPr>
      <w:r>
        <w:rPr>
          <w:rFonts w:hint="eastAsia" w:ascii="仿宋" w:hAnsi="仿宋" w:eastAsia="仿宋" w:cs="仿宋"/>
          <w:sz w:val="30"/>
          <w:szCs w:val="30"/>
        </w:rPr>
        <w:t>我部门</w:t>
      </w:r>
      <w:r>
        <w:rPr>
          <w:rFonts w:hint="eastAsia" w:ascii="仿宋" w:hAnsi="仿宋" w:eastAsia="仿宋" w:cs="仿宋"/>
          <w:sz w:val="30"/>
          <w:szCs w:val="30"/>
          <w:lang w:val="en-US" w:eastAsia="zh-CN"/>
        </w:rPr>
        <w:t>2020</w:t>
      </w:r>
      <w:r>
        <w:rPr>
          <w:rFonts w:hint="eastAsia" w:ascii="仿宋" w:hAnsi="仿宋" w:eastAsia="仿宋" w:cs="仿宋"/>
          <w:sz w:val="30"/>
          <w:szCs w:val="30"/>
        </w:rPr>
        <w:t>年度资产</w:t>
      </w:r>
      <w:r>
        <w:rPr>
          <w:rFonts w:hint="eastAsia" w:ascii="仿宋" w:hAnsi="仿宋" w:eastAsia="仿宋" w:cs="仿宋"/>
          <w:sz w:val="30"/>
          <w:szCs w:val="30"/>
          <w:lang w:val="en-US" w:eastAsia="zh-CN"/>
        </w:rPr>
        <w:t>48679.1</w:t>
      </w:r>
      <w:r>
        <w:rPr>
          <w:rFonts w:hint="eastAsia" w:ascii="仿宋" w:hAnsi="仿宋" w:eastAsia="仿宋" w:cs="仿宋"/>
          <w:sz w:val="30"/>
          <w:szCs w:val="30"/>
        </w:rPr>
        <w:t>万元，负债</w:t>
      </w:r>
      <w:r>
        <w:rPr>
          <w:rFonts w:hint="eastAsia" w:ascii="仿宋" w:hAnsi="仿宋" w:eastAsia="仿宋" w:cs="仿宋"/>
          <w:sz w:val="30"/>
          <w:szCs w:val="30"/>
          <w:lang w:val="en-US" w:eastAsia="zh-CN"/>
        </w:rPr>
        <w:t>27851.13</w:t>
      </w:r>
      <w:r>
        <w:rPr>
          <w:rFonts w:hint="eastAsia" w:ascii="仿宋" w:hAnsi="仿宋" w:eastAsia="仿宋" w:cs="仿宋"/>
          <w:sz w:val="30"/>
          <w:szCs w:val="30"/>
        </w:rPr>
        <w:t>万元，20</w:t>
      </w:r>
      <w:r>
        <w:rPr>
          <w:rFonts w:hint="eastAsia" w:ascii="仿宋" w:hAnsi="仿宋" w:eastAsia="仿宋" w:cs="仿宋"/>
          <w:sz w:val="30"/>
          <w:szCs w:val="30"/>
          <w:lang w:val="en-US" w:eastAsia="zh-CN"/>
        </w:rPr>
        <w:t>19</w:t>
      </w:r>
      <w:r>
        <w:rPr>
          <w:rFonts w:hint="eastAsia" w:ascii="仿宋" w:hAnsi="仿宋" w:eastAsia="仿宋" w:cs="仿宋"/>
          <w:sz w:val="30"/>
          <w:szCs w:val="30"/>
        </w:rPr>
        <w:t>年度资产41761.16 万元，负债27044.15 万元，与上年度相比资产</w:t>
      </w:r>
      <w:r>
        <w:rPr>
          <w:rFonts w:hint="eastAsia" w:ascii="仿宋" w:hAnsi="仿宋" w:eastAsia="仿宋" w:cs="仿宋"/>
          <w:sz w:val="30"/>
          <w:szCs w:val="30"/>
          <w:lang w:val="en-US" w:eastAsia="zh-CN"/>
        </w:rPr>
        <w:t>增加</w:t>
      </w:r>
      <w:r>
        <w:rPr>
          <w:rFonts w:hint="eastAsia" w:ascii="仿宋" w:hAnsi="仿宋" w:eastAsia="仿宋" w:cs="仿宋"/>
          <w:sz w:val="30"/>
          <w:szCs w:val="30"/>
        </w:rPr>
        <w:t>了</w:t>
      </w:r>
      <w:r>
        <w:rPr>
          <w:rFonts w:hint="eastAsia" w:ascii="仿宋" w:hAnsi="仿宋" w:eastAsia="仿宋" w:cs="仿宋"/>
          <w:sz w:val="30"/>
          <w:szCs w:val="30"/>
          <w:lang w:val="en-US" w:eastAsia="zh-CN"/>
        </w:rPr>
        <w:t>6917.94</w:t>
      </w:r>
      <w:r>
        <w:rPr>
          <w:rFonts w:hint="eastAsia" w:ascii="仿宋" w:hAnsi="仿宋" w:eastAsia="仿宋" w:cs="仿宋"/>
          <w:sz w:val="30"/>
          <w:szCs w:val="30"/>
        </w:rPr>
        <w:t>万元，</w:t>
      </w:r>
      <w:r>
        <w:rPr>
          <w:rFonts w:hint="eastAsia" w:ascii="仿宋" w:hAnsi="仿宋" w:eastAsia="仿宋" w:cs="仿宋"/>
          <w:sz w:val="30"/>
          <w:szCs w:val="30"/>
          <w:lang w:val="en-US" w:eastAsia="zh-CN"/>
        </w:rPr>
        <w:t>增加16%</w:t>
      </w:r>
      <w:r>
        <w:rPr>
          <w:rFonts w:hint="eastAsia" w:ascii="仿宋" w:hAnsi="仿宋" w:eastAsia="仿宋" w:cs="仿宋"/>
          <w:sz w:val="30"/>
          <w:szCs w:val="30"/>
        </w:rPr>
        <w:t>，因</w:t>
      </w:r>
      <w:r>
        <w:rPr>
          <w:rFonts w:hint="eastAsia" w:ascii="仿宋" w:hAnsi="仿宋" w:eastAsia="仿宋" w:cs="仿宋"/>
          <w:sz w:val="30"/>
          <w:szCs w:val="30"/>
          <w:lang w:val="en-US" w:eastAsia="zh-CN"/>
        </w:rPr>
        <w:t>新型冠状病毒引起的肺炎疫情导致</w:t>
      </w:r>
      <w:r>
        <w:rPr>
          <w:rFonts w:hint="eastAsia" w:ascii="仿宋" w:hAnsi="仿宋" w:eastAsia="仿宋" w:cs="仿宋"/>
          <w:sz w:val="30"/>
          <w:szCs w:val="30"/>
        </w:rPr>
        <w:t>。负债比上年度增加</w:t>
      </w:r>
      <w:r>
        <w:rPr>
          <w:rFonts w:hint="eastAsia" w:ascii="仿宋" w:hAnsi="仿宋" w:eastAsia="仿宋" w:cs="仿宋"/>
          <w:sz w:val="30"/>
          <w:szCs w:val="30"/>
          <w:lang w:val="en-US" w:eastAsia="zh-CN"/>
        </w:rPr>
        <w:t>806.98</w:t>
      </w:r>
      <w:r>
        <w:rPr>
          <w:rFonts w:hint="eastAsia" w:ascii="仿宋" w:hAnsi="仿宋" w:eastAsia="仿宋" w:cs="仿宋"/>
          <w:sz w:val="30"/>
          <w:szCs w:val="30"/>
        </w:rPr>
        <w:t>万元，增幅</w:t>
      </w:r>
      <w:r>
        <w:rPr>
          <w:rFonts w:hint="eastAsia" w:ascii="仿宋" w:hAnsi="仿宋" w:eastAsia="仿宋" w:cs="仿宋"/>
          <w:sz w:val="30"/>
          <w:szCs w:val="30"/>
          <w:lang w:val="en-US" w:eastAsia="zh-CN"/>
        </w:rPr>
        <w:t>2</w:t>
      </w:r>
      <w:r>
        <w:rPr>
          <w:rFonts w:hint="eastAsia" w:ascii="仿宋" w:hAnsi="仿宋" w:eastAsia="仿宋" w:cs="仿宋"/>
          <w:sz w:val="30"/>
          <w:szCs w:val="30"/>
        </w:rPr>
        <w:t>%。</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部门履职总体目标：</w:t>
      </w:r>
    </w:p>
    <w:p>
      <w:pPr>
        <w:spacing w:line="61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、公共卫生服务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职责描述：公共卫生是保障人民大众身心健康的公共事业，包括提供基本公共卫生服务，疾病预防控制，对突发公共卫生事件的应急处置，促进妇女儿童健康，食品安全风险监管等各项工作。</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绩效目标：推进基本公共卫生服务均等化；控制各类重大疾病的发生与传播；有效应对我县突发公共卫生事件；保障妇女儿童身心健康；提高食品安全风险预警能力，为保障食品安全提供技术支撑。</w:t>
      </w:r>
    </w:p>
    <w:p>
      <w:pPr>
        <w:spacing w:line="61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、医疗卫生服务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职责描述：以医疗技术为基本服务手段，通过各级各类医疗机构，向广大人民群众提供的医疗、预防、保健及康复等服务。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绩效目标：提高医疗机构的疾病救治能力，强化公立医院和基层医疗卫生机构综合改革，满足各类人民群众的医疗服务需求。</w:t>
      </w:r>
    </w:p>
    <w:p>
      <w:pPr>
        <w:spacing w:line="61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、计划生育服务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职责描述：提供各类计划生育技术服务，建立计划生育利益导向机制，开展出生人口性别比治理以及流动人口计划生育管理等各项工作。</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绩效目标：保持适度的低生育水平，有效保障计划生育家庭生活水平，提高妇女生殖健康水平，降低出生缺陷的发生，有效遏制出生人口性别比偏高问题。</w:t>
      </w:r>
    </w:p>
    <w:p>
      <w:pPr>
        <w:spacing w:line="61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、中医药健康</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职责描述：中医药人才培养、中医药信息化建设、中医药文化推广等各项工作，满足各类人民群众享受民族医药服务的需求。</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绩效目标：加强中医药能力建设，提高中医药人员服务水平，有效发挥中医药在医疗保健领域的特色优势。</w:t>
      </w:r>
    </w:p>
    <w:p>
      <w:pPr>
        <w:numPr>
          <w:ilvl w:val="0"/>
          <w:numId w:val="2"/>
        </w:numPr>
        <w:spacing w:line="61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卫生计生政务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职责描述：拟定卫生计生改革与发展目标、规划，组织指导相关工作开展，承担政务公开和业务宣传工作，加强卫生计生能力建设。</w:t>
      </w:r>
    </w:p>
    <w:p>
      <w:pPr>
        <w:numPr>
          <w:ilvl w:val="0"/>
          <w:numId w:val="0"/>
        </w:numPr>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绩效目标：保障卫生健康事业稳定发展。</w:t>
      </w:r>
    </w:p>
    <w:p>
      <w:pPr>
        <w:pStyle w:val="2"/>
        <w:rPr>
          <w:rFonts w:hint="eastAsia" w:ascii="仿宋" w:hAnsi="仿宋" w:eastAsia="仿宋" w:cs="仿宋"/>
          <w:b/>
          <w:bCs/>
          <w:sz w:val="32"/>
          <w:szCs w:val="32"/>
        </w:rPr>
      </w:pPr>
      <w:r>
        <w:rPr>
          <w:rFonts w:hint="eastAsia" w:ascii="仿宋" w:hAnsi="仿宋" w:eastAsia="仿宋" w:cs="仿宋"/>
          <w:b/>
          <w:bCs/>
          <w:sz w:val="32"/>
          <w:szCs w:val="32"/>
        </w:rPr>
        <w:t>预算资金安排及资金支出情况</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9637.59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1393.44</w:t>
      </w:r>
      <w:r>
        <w:rPr>
          <w:rFonts w:hint="eastAsia" w:ascii="仿宋_GB2312" w:hAnsi="仿宋_GB2312" w:eastAsia="仿宋_GB2312" w:cs="仿宋_GB2312"/>
          <w:sz w:val="32"/>
          <w:szCs w:val="32"/>
        </w:rPr>
        <w:t>万元，包括人员经费和日常公用经费；项目支出</w:t>
      </w:r>
      <w:r>
        <w:rPr>
          <w:rFonts w:hint="eastAsia" w:ascii="仿宋_GB2312" w:hAnsi="仿宋_GB2312" w:eastAsia="仿宋_GB2312" w:cs="仿宋_GB2312"/>
          <w:sz w:val="32"/>
          <w:szCs w:val="32"/>
          <w:lang w:val="en-US" w:eastAsia="zh-CN"/>
        </w:rPr>
        <w:t>8144.15</w:t>
      </w:r>
      <w:r>
        <w:rPr>
          <w:rFonts w:hint="eastAsia" w:ascii="仿宋_GB2312" w:hAnsi="仿宋_GB2312" w:eastAsia="仿宋_GB2312" w:cs="仿宋_GB2312"/>
          <w:sz w:val="32"/>
          <w:szCs w:val="32"/>
        </w:rPr>
        <w:t>万元，全部为本级支出的卫生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事业运转经费。</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预算绩效管理开展及整体绩效实现情况</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1）公共卫生项目绩效评价结果。公共卫生服务项目整体实施效果显著。资金到位及时，到位率100%，制定并转发《河北省公共卫生服务项目资金管理使用细则》，规范了资金使用管理；定期对项目工作进行绩效考核，监督完成情况；项目活动开展和服务的数量和质量达到绩效目标和指标要求，项目的实施、宣传、制度建设、机制建设等情况都达到了预期的效果；项目服务对象的满意度较高，具有良好的社会氛围。</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存在的问题及困难：各乡镇开展工作不平衡，公共卫生专业人员素质较低，技术水平参差不齐；医疗机构编制有限，业务量大，给工作的开展带来影响；乡村对公共卫生服务均等化服务认识不够，从基本医</w:t>
      </w:r>
      <w:r>
        <w:rPr>
          <w:rFonts w:hint="eastAsia" w:ascii="仿宋" w:hAnsi="仿宋" w:eastAsia="仿宋" w:cs="仿宋"/>
          <w:sz w:val="30"/>
          <w:szCs w:val="30"/>
          <w:lang w:eastAsia="zh-CN"/>
        </w:rPr>
        <w:t>保</w:t>
      </w:r>
      <w:r>
        <w:rPr>
          <w:rFonts w:hint="eastAsia" w:ascii="仿宋" w:hAnsi="仿宋" w:eastAsia="仿宋" w:cs="仿宋"/>
          <w:sz w:val="30"/>
          <w:szCs w:val="30"/>
        </w:rPr>
        <w:t>向公共卫生服务的转变意识较差；由于覆盖区域较大、人口分别较散，群众文化程度低、健康意识淡薄，对发放的药品不认可，慢性病和重性精神病患者、待孕妇女等人群访视困难较多。在结核病防治过程中，医院方以没有专职的人员和实验室为由，痰涂片工作迟迟未能开展；政府承诺的免费X线胸片检查已不再免费，免费痰涂片检查也已停止，现患者只有免费用药政策可享受。另外，抗结核药品在各大药房和医院可任意购买，部分患者到我市定点医疗机构就诊时，由于在领取免费抗结核药品前，需做相关检查，有些病人嫌麻烦或嫌花钱，从而拒绝检查，给结核病防治工作带来很多困难。</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(2)基本药物制度项目绩效评价结果：基本药物制度专项整体实施效果显著。资金到位及时，到位率100%，制定了《沙河市卫生和计划生育局专项资金管理办法》，规范了资金使用管理；定期对项目工作进行绩效考核，监督完成情况；项目活动开展和服务的数量和质量、经济效益及可持续影响等指标均达到绩效目标和指标要求，项目的实施、宣传、制度建设、机制建设等情况都达到了预期的效果；项目服务对象的满意度较高，具有良好的社会氛围。</w:t>
      </w:r>
    </w:p>
    <w:p>
      <w:pPr>
        <w:spacing w:line="600" w:lineRule="exact"/>
        <w:ind w:left="-315" w:leftChars="-150" w:right="-315" w:rightChars="-150" w:firstLine="600" w:firstLineChars="200"/>
        <w:jc w:val="left"/>
        <w:rPr>
          <w:rFonts w:hint="eastAsia" w:ascii="仿宋" w:hAnsi="仿宋" w:eastAsia="仿宋" w:cs="仿宋"/>
          <w:sz w:val="30"/>
          <w:szCs w:val="30"/>
        </w:rPr>
      </w:pPr>
      <w:r>
        <w:rPr>
          <w:rFonts w:hint="eastAsia" w:ascii="仿宋" w:hAnsi="仿宋" w:eastAsia="仿宋" w:cs="仿宋"/>
          <w:sz w:val="30"/>
          <w:szCs w:val="30"/>
        </w:rPr>
        <w:t>按照上级有关要求，继续组织实施基本药物制度，制定全市基本药物采购、配送、使用管理制度。建立药品集中采购制度，逐步取消药品加成，实现基本药物制度乡村卫生机构全覆盖，缓解百姓“看病难、看病贵”问题。本次绩效自评结构将全面公开，并和拨付资金挂钩。</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存在的问题：乡村医生结构不合理，阻碍村卫生的可持续发展。部分乡村医生普遍“底子薄、基础弱”，学历偏低，年龄偏大，专业技术偏低，技术水平参差不齐；基本药物目录品种少。纳入基本药物目录中的药物品种，较少考虑农村地区疾病状况及不同疾病病种（如慢性病、儿童疾病用药）需求的多样性，导致基本药物目录品种少，村民开药不方便；基本药物配送不及时。有些村卫生室分布较为分散、位置相对偏远、交通不便、药品用量相对有限、基本药物价格较低、运送成本偏高等多方面的原因，药品企业生产与配送的积极性不高，导致农村卫生室部分基本药物出现缺货断货，基本药物的供应难以得到充足持续的保障。</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3）医疗服务能力提升（公立医院综合改革）项目绩效评价结果：公立医院改革项目整体实施效果显著，资金到位及时，到位率100%，制定了《专项资金管理办法》，规范了资金使用管理；定期对项目工作进行绩效考核，监督完成情况；项目活动开展和服务的数量和质量、经济效益及可持续影响等指标均达到绩效目标和指标要求，项目的实施、宣传、制度建设、机制建设等情况都达到了预期的效果；项目服务对象的满意度较高，具有良好的社会氛围。两家公立医院医院所有药品均实行网上集中阳光采购，降低了药品价格，购买医疗设备,切实</w:t>
      </w:r>
      <w:r>
        <w:rPr>
          <w:rFonts w:hint="eastAsia" w:ascii="仿宋" w:hAnsi="仿宋" w:eastAsia="仿宋" w:cs="仿宋"/>
          <w:sz w:val="30"/>
          <w:szCs w:val="30"/>
          <w:lang w:eastAsia="zh-CN"/>
        </w:rPr>
        <w:t>地</w:t>
      </w:r>
      <w:r>
        <w:rPr>
          <w:rFonts w:hint="eastAsia" w:ascii="仿宋" w:hAnsi="仿宋" w:eastAsia="仿宋" w:cs="仿宋"/>
          <w:sz w:val="30"/>
          <w:szCs w:val="30"/>
        </w:rPr>
        <w:t>为就诊患者提供了优质的治疗服务，在后期的随访中，来院就诊患者对医院满意度比往前有了显著提高，医院医疗服务能力提高见成效。全面实行药品零差率，自实行以来每年都有亏损，资金弥补了亏损情况。项目实施期间，项目单位充分发挥资金使用效率，明确相关科室的职责和工作标准，营造了项目实施的良好社会氛围，项目实施效果显著。</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存在的问题：人员编制少,几年来，由于两家医院（原市医院和</w:t>
      </w:r>
      <w:r>
        <w:rPr>
          <w:rFonts w:hint="eastAsia" w:ascii="仿宋" w:hAnsi="仿宋" w:eastAsia="仿宋" w:cs="仿宋"/>
          <w:sz w:val="30"/>
          <w:szCs w:val="30"/>
          <w:lang w:eastAsia="zh-CN"/>
        </w:rPr>
        <w:t>县</w:t>
      </w:r>
      <w:r>
        <w:rPr>
          <w:rFonts w:hint="eastAsia" w:ascii="仿宋" w:hAnsi="仿宋" w:eastAsia="仿宋" w:cs="仿宋"/>
          <w:sz w:val="30"/>
          <w:szCs w:val="30"/>
        </w:rPr>
        <w:t>人民医院）的资源整合，就诊病人急剧增加，医院都存在严重缺编少人的情况，无法满足日常医疗工作需要。建议政府解决编制问题；历史债务多。我市两家公立医院都有历史债务，县级医院自己无力偿还，尤其是人民医院新建住院大楼、添置设备等，形成沉重的债务负担，阻碍了医院的发展。建议政府应在充分调查研究基础上，尽快解决化解县级公立医院历史债务；药品问题 据初步统计，新农合基本药品目录品种不足，县级公立医院基本用药目录与新农合基本药品目录、医保基本药品目录不统一，给患者报销带来困难。 医院实行药品零差价后，广大病人反</w:t>
      </w:r>
      <w:r>
        <w:rPr>
          <w:rFonts w:hint="eastAsia" w:ascii="仿宋" w:hAnsi="仿宋" w:eastAsia="仿宋" w:cs="仿宋"/>
          <w:sz w:val="30"/>
          <w:szCs w:val="30"/>
          <w:lang w:eastAsia="zh-CN"/>
        </w:rPr>
        <w:t>映</w:t>
      </w:r>
      <w:r>
        <w:rPr>
          <w:rFonts w:hint="eastAsia" w:ascii="仿宋" w:hAnsi="仿宋" w:eastAsia="仿宋" w:cs="仿宋"/>
          <w:sz w:val="30"/>
          <w:szCs w:val="30"/>
        </w:rPr>
        <w:t>药价下降不明显。建议根据实际需求修订基本药物目录。政府对于提供疗效好、价格低的药品厂家给予适当补偿，以保证顺利供应，实惠于民。</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4）计划生育服务项目：资金到位及时，到位率100%，通过实施国家奖扶、特扶等制度，创建幸福家庭等工作，全面提高了计划生育家庭的发展能力。做好出生人口性别比治理工作，加强流动人口计划生育管理，提升基层基础计划生育队伍服务水平。协助政府开展计划生育群众自治、亲情关爱及幸福工程等工作，动员广大群众自觉参与和实行各项计划生育政策。</w:t>
      </w:r>
    </w:p>
    <w:p>
      <w:pPr>
        <w:pStyle w:val="8"/>
        <w:spacing w:line="600" w:lineRule="exact"/>
        <w:ind w:left="-315" w:leftChars="-150" w:right="-315" w:rightChars="-150" w:firstLine="600" w:firstLineChars="200"/>
        <w:rPr>
          <w:rFonts w:hint="eastAsia" w:ascii="仿宋" w:hAnsi="仿宋" w:eastAsia="仿宋" w:cs="仿宋"/>
          <w:sz w:val="30"/>
          <w:szCs w:val="30"/>
        </w:rPr>
      </w:pPr>
      <w:r>
        <w:rPr>
          <w:rFonts w:hint="eastAsia" w:ascii="仿宋" w:hAnsi="仿宋" w:eastAsia="仿宋" w:cs="仿宋"/>
          <w:sz w:val="30"/>
          <w:szCs w:val="30"/>
        </w:rPr>
        <w:t>存在的问题和困难:因历年计划生育政策的调整，造成对不同时期内的符合奖励扶助政策的计划生育家庭的资格认定困难，特别是一些再婚等存在特殊情况的家庭。</w:t>
      </w:r>
    </w:p>
    <w:p>
      <w:pPr>
        <w:pStyle w:val="8"/>
        <w:numPr>
          <w:ilvl w:val="0"/>
          <w:numId w:val="0"/>
        </w:numPr>
        <w:spacing w:line="600" w:lineRule="exact"/>
        <w:ind w:left="640" w:leftChars="0" w:right="-315" w:rightChars="-150"/>
        <w:rPr>
          <w:rFonts w:hint="eastAsia"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三</w:t>
      </w:r>
      <w:r>
        <w:rPr>
          <w:rFonts w:hint="eastAsia" w:ascii="仿宋" w:hAnsi="仿宋" w:eastAsia="仿宋" w:cs="仿宋"/>
          <w:b/>
          <w:bCs/>
          <w:i w:val="0"/>
          <w:caps w:val="0"/>
          <w:color w:val="000000"/>
          <w:spacing w:val="0"/>
          <w:sz w:val="32"/>
          <w:szCs w:val="32"/>
          <w:shd w:val="clear" w:fill="FFFFFF"/>
        </w:rPr>
        <w:t>绩效</w:t>
      </w:r>
      <w:r>
        <w:rPr>
          <w:rFonts w:hint="eastAsia" w:ascii="仿宋" w:hAnsi="仿宋" w:eastAsia="仿宋" w:cs="仿宋"/>
          <w:b/>
          <w:bCs/>
          <w:i w:val="0"/>
          <w:caps w:val="0"/>
          <w:color w:val="000000"/>
          <w:spacing w:val="0"/>
          <w:sz w:val="32"/>
          <w:szCs w:val="32"/>
          <w:shd w:val="clear" w:fill="FFFFFF"/>
          <w:lang w:val="en-US" w:eastAsia="zh-CN"/>
        </w:rPr>
        <w:t>评价的组织实施情况</w:t>
      </w:r>
    </w:p>
    <w:p>
      <w:pPr>
        <w:pStyle w:val="8"/>
        <w:numPr>
          <w:ilvl w:val="0"/>
          <w:numId w:val="0"/>
        </w:numPr>
        <w:spacing w:line="600" w:lineRule="exact"/>
        <w:ind w:right="-315" w:rightChars="-150"/>
        <w:rPr>
          <w:rFonts w:hint="default"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前期准备：</w:t>
      </w:r>
    </w:p>
    <w:p>
      <w:pPr>
        <w:pStyle w:val="8"/>
        <w:numPr>
          <w:ilvl w:val="0"/>
          <w:numId w:val="0"/>
        </w:numPr>
        <w:spacing w:line="600" w:lineRule="exact"/>
        <w:ind w:right="-315" w:rightChars="-15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依据部门职责及年初制定的各项工作任务对本单位</w:t>
      </w:r>
      <w:r>
        <w:rPr>
          <w:rFonts w:hint="eastAsia" w:ascii="仿宋" w:hAnsi="仿宋" w:eastAsia="仿宋" w:cs="仿宋"/>
          <w:sz w:val="32"/>
          <w:szCs w:val="32"/>
        </w:rPr>
        <w:t>绩效目标、绩效指标</w:t>
      </w:r>
      <w:r>
        <w:rPr>
          <w:rFonts w:hint="eastAsia" w:ascii="仿宋" w:hAnsi="仿宋" w:eastAsia="仿宋" w:cs="仿宋"/>
          <w:sz w:val="32"/>
          <w:szCs w:val="32"/>
          <w:lang w:eastAsia="zh-CN"/>
        </w:rPr>
        <w:t>进行评价，</w:t>
      </w:r>
      <w:r>
        <w:rPr>
          <w:rFonts w:hint="eastAsia" w:ascii="仿宋" w:hAnsi="仿宋" w:eastAsia="仿宋" w:cs="仿宋"/>
          <w:sz w:val="32"/>
          <w:szCs w:val="32"/>
        </w:rPr>
        <w:t>评价标准</w:t>
      </w:r>
      <w:r>
        <w:rPr>
          <w:rFonts w:hint="eastAsia" w:ascii="仿宋" w:hAnsi="仿宋" w:eastAsia="仿宋" w:cs="仿宋"/>
          <w:sz w:val="32"/>
          <w:szCs w:val="32"/>
          <w:lang w:eastAsia="zh-CN"/>
        </w:rPr>
        <w:t>主要为</w:t>
      </w:r>
      <w:r>
        <w:rPr>
          <w:rFonts w:hint="eastAsia" w:ascii="仿宋" w:hAnsi="仿宋" w:eastAsia="仿宋" w:cs="仿宋"/>
          <w:sz w:val="32"/>
          <w:szCs w:val="32"/>
          <w:lang w:val="en-US" w:eastAsia="zh-CN"/>
        </w:rPr>
        <w:t>实际完成率</w:t>
      </w:r>
      <w:r>
        <w:rPr>
          <w:rFonts w:hint="eastAsia" w:ascii="仿宋" w:hAnsi="仿宋" w:eastAsia="仿宋" w:cs="仿宋"/>
          <w:sz w:val="32"/>
          <w:szCs w:val="32"/>
          <w:lang w:eastAsia="zh-CN"/>
        </w:rPr>
        <w:t>，评价方法为按照绩效指标逐项对标评分。</w:t>
      </w:r>
    </w:p>
    <w:p>
      <w:pPr>
        <w:pStyle w:val="8"/>
        <w:numPr>
          <w:ilvl w:val="0"/>
          <w:numId w:val="0"/>
        </w:numPr>
        <w:spacing w:line="600" w:lineRule="exact"/>
        <w:ind w:left="640" w:leftChars="0" w:right="-315" w:rightChars="-150"/>
        <w:jc w:val="both"/>
        <w:rPr>
          <w:rFonts w:hint="eastAsia" w:ascii="仿宋" w:hAnsi="仿宋" w:eastAsia="仿宋" w:cs="仿宋"/>
          <w:b/>
          <w:bCs/>
          <w:i w:val="0"/>
          <w:caps w:val="0"/>
          <w:color w:val="000000"/>
          <w:spacing w:val="0"/>
          <w:sz w:val="32"/>
          <w:szCs w:val="32"/>
          <w:shd w:val="clear" w:fill="FFFFFF"/>
          <w:lang w:val="en-US" w:eastAsia="zh-CN"/>
        </w:rPr>
      </w:pPr>
    </w:p>
    <w:tbl>
      <w:tblPr>
        <w:tblStyle w:val="6"/>
        <w:tblW w:w="11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1160.92</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公共卫生是保障人民大众身心健康的公共事业，包括提供基本公共卫生服务，疾病预防控制，对突发公共卫生事件的应急处置，促进妇女儿童健康，等各项工作。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推进基本公共卫生服务均等化；控制各类重大疾病的发生与传播；有效应对我县突发公共卫生事件；保障妇女儿童身心健康。</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595</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按照国家基本公共卫生服务项目《规范》，组织全县基层医疗卫生机构开展实施基本公共卫生服务项目。</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免费健康体检率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城乡居民电子档案建档率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城乡居民健康档案建档率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485</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组织落实重大疾病防治规划、国家免疫规划及严重危害人民健康公共卫生问题的干预措施，防止和控制疾病发生和疫情蔓延，组织开展全县爱国卫生工作。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预防和控制疾病的发生、流动和传播，提高全县人民健康水平。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重性精神疾病患者健康管理率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国家免疫规划疫苗接种率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6.30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负责全县卫生应急体系和能力建设，突发公共卫生事件的预防准备、监测预警、处置救援、总结评估等工作。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提高突发公共卫生事件的应急处置能力，有效应对突发公共卫生事件，保障人民群众健康和生命安全。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突发公共卫生事件信息报告率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vAlign w:val="center"/>
          </w:tcPr>
          <w:p>
            <w:pPr>
              <w:spacing w:line="300" w:lineRule="exact"/>
              <w:jc w:val="center"/>
              <w:rPr>
                <w:rFonts w:ascii="方正书宋_GBK" w:eastAsia="方正书宋_GBK"/>
              </w:rPr>
            </w:pPr>
            <w:r>
              <w:rPr>
                <w:rFonts w:ascii="方正书宋_GBK" w:eastAsia="方正书宋_GBK"/>
              </w:rPr>
              <w:t>&lt;97%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突发公共事件卫生应急处置率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p>
        </w:tc>
        <w:tc>
          <w:tcPr>
            <w:tcW w:w="737" w:type="dxa"/>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74.62</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提高妇女儿童健康水平和出生人口素质。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住院分娩率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p>
        </w:tc>
        <w:tc>
          <w:tcPr>
            <w:tcW w:w="737" w:type="dxa"/>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岁婴儿死亡率（</w:t>
            </w:r>
            <w:r>
              <w:rPr>
                <w:rFonts w:ascii="方正书宋_GBK" w:eastAsia="方正书宋_GBK"/>
              </w:rPr>
              <w:t>‰</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&lt;7‰</w:t>
            </w:r>
          </w:p>
        </w:tc>
        <w:tc>
          <w:tcPr>
            <w:tcW w:w="737" w:type="dxa"/>
            <w:vAlign w:val="center"/>
          </w:tcPr>
          <w:p>
            <w:pPr>
              <w:spacing w:line="300" w:lineRule="exact"/>
              <w:jc w:val="center"/>
              <w:rPr>
                <w:rFonts w:ascii="方正书宋_GBK" w:eastAsia="方正书宋_GBK"/>
              </w:rPr>
            </w:pP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ascii="方正书宋_GBK" w:eastAsia="方正书宋_GBK"/>
              </w:rPr>
              <w:t>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新生儿疾病筛查率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产前筛查率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834.78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以医疗技术为基本服务手段，通过各级各类医疗机构，向广大人民群众提供的医疗、预防、保健及康复等服务。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提高医疗机构的疾病救治能力，强化公立医院和基层医疗卫生机构综合改革，满足各类人民群众的医疗服务需求。</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针对不同类型的疾病提供预防、检查、诊断、治疗和康复等各类医疗服务，健全我县医疗机构和医疗服务全行业管理制度，开展医疗惠民工程等各类医疗服务工作。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提高医疗救治水平，满足各类患者的医疗服务需求。</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患者死亡率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入出院诊断符合率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门急诊服务窗口平均等候时间（分钟）</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c>
          <w:tcPr>
            <w:tcW w:w="737" w:type="dxa"/>
            <w:vAlign w:val="center"/>
          </w:tcPr>
          <w:p>
            <w:pPr>
              <w:spacing w:line="300" w:lineRule="exact"/>
              <w:jc w:val="center"/>
              <w:rPr>
                <w:rFonts w:ascii="方正书宋_GBK" w:eastAsia="方正书宋_GBK"/>
              </w:rPr>
            </w:pPr>
            <w:r>
              <w:rPr>
                <w:rFonts w:ascii="方正书宋_GBK" w:eastAsia="方正书宋_GBK"/>
              </w:rPr>
              <w:t>&lt;15</w:t>
            </w:r>
          </w:p>
        </w:tc>
        <w:tc>
          <w:tcPr>
            <w:tcW w:w="737" w:type="dxa"/>
            <w:vAlign w:val="center"/>
          </w:tcPr>
          <w:p>
            <w:pPr>
              <w:spacing w:line="300" w:lineRule="exact"/>
              <w:jc w:val="center"/>
              <w:rPr>
                <w:rFonts w:ascii="方正书宋_GBK" w:eastAsia="方正书宋_GBK"/>
              </w:rPr>
            </w:pPr>
            <w:r>
              <w:rPr>
                <w:rFonts w:ascii="方正书宋_GBK" w:eastAsia="方正书宋_GBK"/>
              </w:rPr>
              <w:t>&lt;20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病床使用率</w:t>
            </w:r>
            <w:r>
              <w:rPr>
                <w:rFonts w:ascii="方正书宋_GBK" w:eastAsia="方正书宋_GBK"/>
              </w:rPr>
              <w:t>(</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出院者平均住院天数</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834.78</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逐步取消公立医院药品加成，实现基本药物制度乡村卫生机构全覆盖，健全和完善药品和高值医用耗材集中采购制度，缓解百姓</w:t>
            </w:r>
            <w:r>
              <w:rPr>
                <w:rFonts w:ascii="方正书宋_GBK" w:eastAsia="方正书宋_GBK"/>
              </w:rPr>
              <w:t>“</w:t>
            </w:r>
            <w:r>
              <w:rPr>
                <w:rFonts w:hint="eastAsia" w:ascii="方正书宋_GBK" w:eastAsia="方正书宋_GBK"/>
              </w:rPr>
              <w:t>看病难、看病贵</w:t>
            </w:r>
            <w:r>
              <w:rPr>
                <w:rFonts w:ascii="方正书宋_GBK" w:eastAsia="方正书宋_GBK"/>
              </w:rPr>
              <w:t>”</w:t>
            </w:r>
            <w:r>
              <w:rPr>
                <w:rFonts w:hint="eastAsia" w:ascii="方正书宋_GBK" w:eastAsia="方正书宋_GBK"/>
              </w:rPr>
              <w:t>问题。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药占比</w:t>
            </w:r>
          </w:p>
        </w:tc>
        <w:tc>
          <w:tcPr>
            <w:tcW w:w="737" w:type="dxa"/>
            <w:vAlign w:val="center"/>
          </w:tcPr>
          <w:p>
            <w:pPr>
              <w:spacing w:line="300" w:lineRule="exact"/>
              <w:jc w:val="center"/>
              <w:rPr>
                <w:rFonts w:ascii="方正书宋_GBK" w:eastAsia="方正书宋_GBK"/>
              </w:rPr>
            </w:pPr>
            <w:r>
              <w:rPr>
                <w:rFonts w:ascii="方正书宋_GBK" w:eastAsia="方正书宋_GBK"/>
              </w:rPr>
              <w:t>&lt;45%</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c>
          <w:tcPr>
            <w:tcW w:w="737" w:type="dxa"/>
            <w:vAlign w:val="center"/>
          </w:tcPr>
          <w:p>
            <w:pPr>
              <w:spacing w:line="300" w:lineRule="exact"/>
              <w:jc w:val="center"/>
              <w:rPr>
                <w:rFonts w:ascii="方正书宋_GBK" w:eastAsia="方正书宋_GBK"/>
              </w:rPr>
            </w:pPr>
            <w:r>
              <w:rPr>
                <w:rFonts w:ascii="方正书宋_GBK" w:eastAsia="方正书宋_GBK"/>
              </w:rPr>
              <w:t>&lt;55%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药品加成率</w:t>
            </w:r>
          </w:p>
        </w:tc>
        <w:tc>
          <w:tcPr>
            <w:tcW w:w="737" w:type="dxa"/>
            <w:vAlign w:val="center"/>
          </w:tcPr>
          <w:p>
            <w:pPr>
              <w:spacing w:line="300" w:lineRule="exact"/>
              <w:jc w:val="center"/>
              <w:rPr>
                <w:rFonts w:ascii="方正书宋_GBK" w:eastAsia="方正书宋_GBK"/>
              </w:rPr>
            </w:pPr>
            <w:r>
              <w:rPr>
                <w:rFonts w:ascii="方正书宋_GBK" w:eastAsia="方正书宋_GBK"/>
              </w:rPr>
              <w:t>&lt;15%</w:t>
            </w:r>
          </w:p>
        </w:tc>
        <w:tc>
          <w:tcPr>
            <w:tcW w:w="737" w:type="dxa"/>
            <w:vAlign w:val="center"/>
          </w:tcPr>
          <w:p>
            <w:pPr>
              <w:spacing w:line="300" w:lineRule="exact"/>
              <w:jc w:val="center"/>
              <w:rPr>
                <w:rFonts w:ascii="方正书宋_GBK" w:eastAsia="方正书宋_GBK"/>
              </w:rPr>
            </w:pPr>
            <w:r>
              <w:rPr>
                <w:rFonts w:ascii="方正书宋_GBK" w:eastAsia="方正书宋_GBK"/>
              </w:rPr>
              <w:t>&lt;18%</w:t>
            </w:r>
          </w:p>
        </w:tc>
        <w:tc>
          <w:tcPr>
            <w:tcW w:w="737" w:type="dxa"/>
            <w:vAlign w:val="center"/>
          </w:tcPr>
          <w:p>
            <w:pPr>
              <w:spacing w:line="300" w:lineRule="exact"/>
              <w:jc w:val="center"/>
              <w:rPr>
                <w:rFonts w:ascii="方正书宋_GBK" w:eastAsia="方正书宋_GBK"/>
              </w:rPr>
            </w:pPr>
            <w:r>
              <w:rPr>
                <w:rFonts w:ascii="方正书宋_GBK" w:eastAsia="方正书宋_GBK"/>
              </w:rPr>
              <w:t>&lt;20%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基层医疗卫生机构药品零差率实施率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公立医院改革覆盖率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医疗风险分担机制覆盖率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505.2</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坚持计划生育基本国策，提供各类计划生育技术服务，建立计划生育利益导向机制，开展出生人口性别比治理以及流动人口计划生育管理等各项工作。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保持适度的低生育水平，有效保障计划生育家庭生活水平，提高妇女生殖健康水平，降低出生缺陷的发生，有效遏制出生人口性别比偏高问题。</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405.2</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通过实施国家奖扶、特扶等制度，创建幸福家庭等工作，全面提高计划生育家庭的发展能力。</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有效引导群众自觉实行计划生育，加强计划生育家庭的发展能力，提高计划生育家庭的凝聚力及成员幸福感。</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做好出生人口性别比治理工作，加强流动人口计划生育管理，提升基层基础计划生育队伍服务水平。</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协助政府开展计划生育群众自治、亲情关爱及幸福工程等工作，动员广大群众自觉参与和实行各项计划生育政策。</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增进广大育龄群众和计生家庭福祉，提高群众自觉实行计划生育的积极性。</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试点地区失独家庭</w:t>
            </w:r>
            <w:r>
              <w:rPr>
                <w:rFonts w:ascii="方正书宋_GBK" w:eastAsia="方正书宋_GBK"/>
              </w:rPr>
              <w:t>“</w:t>
            </w:r>
            <w:r>
              <w:rPr>
                <w:rFonts w:hint="eastAsia" w:ascii="方正书宋_GBK" w:eastAsia="方正书宋_GBK"/>
              </w:rPr>
              <w:t>亲情关爱</w:t>
            </w:r>
            <w:r>
              <w:rPr>
                <w:rFonts w:ascii="方正书宋_GBK" w:eastAsia="方正书宋_GBK"/>
              </w:rPr>
              <w:t>”</w:t>
            </w:r>
            <w:r>
              <w:rPr>
                <w:rFonts w:hint="eastAsia" w:ascii="方正书宋_GBK" w:eastAsia="方正书宋_GBK"/>
              </w:rPr>
              <w:t>帮扶覆盖面</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计划生育基层群众自治村（居）覆盖率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中医药人才培养、中医药信息化建设、中医药文化推广等各项工作，满足各类人民群众享受民族医药服务的需求。</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培养具有扎实中医药理论功底和较强</w:t>
            </w:r>
            <w:r>
              <w:rPr>
                <w:rFonts w:hint="eastAsia" w:ascii="方正书宋_GBK" w:eastAsia="方正书宋_GBK"/>
                <w:lang w:val="en-US" w:eastAsia="zh-CN"/>
              </w:rPr>
              <w:t>辨</w:t>
            </w:r>
            <w:r>
              <w:rPr>
                <w:rFonts w:hint="eastAsia" w:ascii="方正书宋_GBK" w:eastAsia="方正书宋_GBK"/>
              </w:rPr>
              <w:t>证施治能力的中医临床技术人员，面向基层医疗机构推广中医药适宜技术。</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提高各级各类中医药人才的施治能力。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中医药信息化建设任务完成率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培养优秀中医临床人才数量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构建中医药核心价值体系，开展中医药文化传播与知识普及。</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提升人民群众中医养生保健素养和健康水准。</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中医药文化传播与知识普及活动完成率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培育和建设具有明显中医特色的重点专科，加强中医医疗机构信息化建设。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患者满意度</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建设中医医疗重点专科数量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1549</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拟定卫生计生改革与发展目标、规划，组织指导相关工作开展，承担政务公开和业务宣传工作，加强卫生计生能力建设。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保障卫生计生事业稳定发展。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5" w:hRule="atLeast"/>
          <w:jc w:val="center"/>
        </w:trPr>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开展卫生计生人才培训，组织继续医学教育和适宜技术推广等工作。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提高全市卫生计生人才队伍服务水平和卫生计生机构科研能力。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推广基层医疗适宜技术项数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vAlign w:val="center"/>
          </w:tcPr>
          <w:p>
            <w:pPr>
              <w:spacing w:line="300" w:lineRule="exact"/>
              <w:jc w:val="center"/>
              <w:rPr>
                <w:rFonts w:ascii="方正书宋_GBK" w:eastAsia="方正书宋_GBK"/>
              </w:rPr>
            </w:pP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监督卫生计生相关法律法规落实情况，督办重大卫生计生违法案件，指导和规范卫生计生人员执法行为，坚持计划生育目标管理责任制。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保障卫生计生法律法规的落实，提升卫生计生工作规范化和法制化水平，保障人民群众卫生计生权益。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职业卫生服务机构考核率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开展卫生计生规划、资源配置、统计、法制、政策研究、宣传教育、舆情监测等工作。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基层卫生计生服务人员培训结业率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卫生计生宣传教育完成率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1549.00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开展卫生计生信息化、基础设施、装备管理与配置等各项工作。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提高我市卫生健康系统软硬件服务能力。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安全生产事件有效防范</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是</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卫生计生系统软硬件服务能力提升情况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是</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基层医疗卫生机构信息化系统覆盖率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软硬件正常服务情况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是</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基础设施维修改造任务完成率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bl>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各项绩效目标的实现程度及差异性原因分析</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各项绩效目标均按照预期实现。</w:t>
      </w:r>
    </w:p>
    <w:p>
      <w:pPr>
        <w:numPr>
          <w:ilvl w:val="0"/>
          <w:numId w:val="3"/>
        </w:numPr>
        <w:rPr>
          <w:rFonts w:hint="eastAsia" w:ascii="仿宋" w:hAnsi="仿宋" w:eastAsia="仿宋" w:cs="仿宋"/>
          <w:b/>
          <w:bCs/>
          <w:sz w:val="32"/>
          <w:szCs w:val="32"/>
        </w:rPr>
      </w:pPr>
      <w:r>
        <w:rPr>
          <w:rFonts w:hint="eastAsia" w:ascii="仿宋" w:hAnsi="仿宋" w:eastAsia="仿宋" w:cs="仿宋"/>
          <w:b/>
          <w:bCs/>
          <w:sz w:val="32"/>
          <w:szCs w:val="32"/>
        </w:rPr>
        <w:t>存在问题、采取的纠偏措施及改进绩效管理建议</w:t>
      </w:r>
    </w:p>
    <w:p>
      <w:pPr>
        <w:pStyle w:val="4"/>
        <w:shd w:val="clear" w:color="auto" w:fill="FFFFFF"/>
        <w:spacing w:before="0" w:beforeAutospacing="0" w:after="0" w:afterAutospacing="0" w:line="600" w:lineRule="exact"/>
        <w:ind w:left="-315" w:leftChars="-150" w:right="-315" w:rightChars="-150"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目前来看，</w:t>
      </w:r>
      <w:r>
        <w:rPr>
          <w:rFonts w:hint="eastAsia" w:ascii="仿宋" w:hAnsi="仿宋" w:eastAsia="仿宋"/>
          <w:sz w:val="30"/>
          <w:szCs w:val="30"/>
          <w:lang w:eastAsia="zh-CN"/>
        </w:rPr>
        <w:t>预算执行情况总体较好，</w:t>
      </w:r>
      <w:r>
        <w:rPr>
          <w:rFonts w:hint="eastAsia" w:ascii="仿宋" w:hAnsi="仿宋" w:eastAsia="仿宋"/>
          <w:sz w:val="30"/>
          <w:szCs w:val="30"/>
          <w:lang w:val="en-US" w:eastAsia="zh-CN"/>
        </w:rPr>
        <w:t>但仍需进一步加强各方面工作：</w:t>
      </w:r>
    </w:p>
    <w:p>
      <w:pPr>
        <w:pStyle w:val="4"/>
        <w:shd w:val="clear" w:color="auto" w:fill="FFFFFF"/>
        <w:spacing w:before="0" w:beforeAutospacing="0" w:after="0" w:afterAutospacing="0" w:line="600" w:lineRule="exact"/>
        <w:ind w:left="-315" w:leftChars="-150" w:right="-315" w:rightChars="-150" w:firstLine="600" w:firstLineChars="200"/>
        <w:rPr>
          <w:rFonts w:hint="eastAsia" w:ascii="仿宋" w:hAnsi="仿宋" w:eastAsia="仿宋" w:cs="仿宋"/>
          <w:color w:val="000000"/>
          <w:sz w:val="30"/>
          <w:szCs w:val="30"/>
        </w:rPr>
      </w:pPr>
      <w:r>
        <w:rPr>
          <w:rFonts w:hint="eastAsia" w:ascii="仿宋" w:hAnsi="仿宋" w:eastAsia="仿宋" w:cs="仿宋"/>
          <w:sz w:val="30"/>
          <w:szCs w:val="30"/>
        </w:rPr>
        <w:t>1、做好财务科日常工作。</w:t>
      </w:r>
      <w:r>
        <w:rPr>
          <w:rFonts w:hint="eastAsia" w:ascii="仿宋" w:hAnsi="仿宋" w:eastAsia="仿宋" w:cs="仿宋"/>
          <w:color w:val="000000"/>
          <w:sz w:val="30"/>
          <w:szCs w:val="30"/>
        </w:rPr>
        <w:t>认真做好会计报销、工资发放、会计原始凭证、记账凭证的审核、记账、装订、会计档案的整理、归档工作、完成各类财务报表和网络直报等报表工作。</w:t>
      </w:r>
    </w:p>
    <w:p>
      <w:pPr>
        <w:pStyle w:val="4"/>
        <w:shd w:val="clear" w:color="auto" w:fill="FFFFFF"/>
        <w:spacing w:before="0" w:beforeAutospacing="0" w:after="0" w:afterAutospacing="0" w:line="600" w:lineRule="exact"/>
        <w:ind w:left="-315" w:leftChars="-150" w:right="-315" w:rightChars="-15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2、加强内部财务管理工作，采取与外部单位、内部各部门定期核对账目台</w:t>
      </w:r>
      <w:r>
        <w:rPr>
          <w:rFonts w:hint="eastAsia" w:ascii="仿宋" w:hAnsi="仿宋" w:eastAsia="仿宋" w:cs="仿宋"/>
          <w:color w:val="000000"/>
          <w:sz w:val="30"/>
          <w:szCs w:val="30"/>
          <w:lang w:eastAsia="zh-CN"/>
        </w:rPr>
        <w:t>账</w:t>
      </w:r>
      <w:r>
        <w:rPr>
          <w:rFonts w:hint="eastAsia" w:ascii="仿宋" w:hAnsi="仿宋" w:eastAsia="仿宋" w:cs="仿宋"/>
          <w:color w:val="000000"/>
          <w:sz w:val="30"/>
          <w:szCs w:val="30"/>
        </w:rPr>
        <w:t>来确保数据无误，对各部门资金支出进行及时反映和分析等措施。</w:t>
      </w:r>
    </w:p>
    <w:p>
      <w:pPr>
        <w:spacing w:line="600" w:lineRule="exact"/>
        <w:ind w:left="-315" w:leftChars="-150" w:right="-315" w:rightChars="-150"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3、进一步加强卫生计生专项资金管理，按方案要求及时拨付项目单位，并进行会计核算，严格把关，确保项目资金有效落实到位。</w:t>
      </w:r>
    </w:p>
    <w:p>
      <w:pPr>
        <w:spacing w:line="600" w:lineRule="exact"/>
        <w:ind w:left="-315" w:leftChars="-150" w:right="-315" w:rightChars="-150"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4、完成各项目的绩效考核资金挂钩结算工作。</w:t>
      </w:r>
    </w:p>
    <w:p>
      <w:pPr>
        <w:spacing w:line="600" w:lineRule="exact"/>
        <w:ind w:left="-315" w:leftChars="-150" w:right="-315" w:rightChars="-150" w:firstLine="600" w:firstLineChars="200"/>
        <w:rPr>
          <w:rFonts w:hint="eastAsia" w:ascii="仿宋" w:hAnsi="仿宋" w:eastAsia="仿宋" w:cs="仿宋"/>
          <w:sz w:val="30"/>
          <w:szCs w:val="30"/>
        </w:rPr>
      </w:pPr>
      <w:r>
        <w:rPr>
          <w:rFonts w:hint="eastAsia" w:ascii="仿宋" w:hAnsi="仿宋" w:eastAsia="仿宋" w:cs="仿宋"/>
          <w:color w:val="000000"/>
          <w:sz w:val="30"/>
          <w:szCs w:val="30"/>
          <w:shd w:val="clear" w:color="auto" w:fill="FFFFFF"/>
        </w:rPr>
        <w:t>5、完善一系列资金管理制度。</w:t>
      </w:r>
      <w:r>
        <w:rPr>
          <w:rFonts w:hint="eastAsia" w:ascii="仿宋" w:hAnsi="仿宋" w:eastAsia="仿宋" w:cs="仿宋"/>
          <w:sz w:val="30"/>
          <w:szCs w:val="30"/>
        </w:rPr>
        <w:t>严格实行专项资金开票、经办、审核、审批、记账等职责分离，切实加强专项资金管理，确保做到专款专用。</w:t>
      </w:r>
    </w:p>
    <w:p>
      <w:pPr>
        <w:spacing w:line="600" w:lineRule="exact"/>
        <w:ind w:left="-315" w:leftChars="-150" w:right="-315" w:rightChars="-150" w:firstLine="600" w:firstLineChars="200"/>
        <w:rPr>
          <w:rFonts w:hint="eastAsia" w:ascii="仿宋_GB2312" w:hAnsi="宋体" w:eastAsia="仿宋_GB2312" w:cs="仿宋_GB2312"/>
          <w:color w:val="000000"/>
          <w:sz w:val="31"/>
          <w:szCs w:val="31"/>
          <w:shd w:val="clear" w:color="auto" w:fill="FFFFFF"/>
        </w:rPr>
      </w:pPr>
      <w:r>
        <w:rPr>
          <w:rFonts w:hint="eastAsia" w:ascii="仿宋" w:hAnsi="仿宋" w:eastAsia="仿宋" w:cs="仿宋"/>
          <w:sz w:val="30"/>
          <w:szCs w:val="30"/>
        </w:rPr>
        <w:t>6、做好年底决算报表工作。按照和财政部门的要求，认真完成决算报表工作，并决算公开，保证数据真实有效。</w:t>
      </w:r>
    </w:p>
    <w:p>
      <w:pPr>
        <w:rPr>
          <w:rFonts w:ascii="仿宋" w:hAnsi="仿宋" w:eastAsia="仿宋" w:cs="Times New Roman"/>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其他需要说明的问题</w:t>
      </w:r>
      <w:r>
        <w:rPr>
          <w:rFonts w:hint="eastAsia" w:ascii="仿宋" w:hAnsi="仿宋" w:eastAsia="仿宋" w:cs="仿宋"/>
          <w:b/>
          <w:bCs/>
          <w:sz w:val="32"/>
          <w:szCs w:val="32"/>
          <w:lang w:eastAsia="zh-CN"/>
        </w:rPr>
        <w:t>：无。</w:t>
      </w:r>
    </w:p>
    <w:p>
      <w:pPr>
        <w:snapToGrid w:val="0"/>
        <w:spacing w:line="400" w:lineRule="exact"/>
        <w:ind w:firstLine="480" w:firstLineChars="200"/>
        <w:rPr>
          <w:rFonts w:hint="eastAsia" w:ascii="仿宋_GB2312" w:hAnsi="仿宋" w:eastAsia="仿宋_GB2312"/>
          <w:sz w:val="24"/>
        </w:rPr>
      </w:pPr>
    </w:p>
    <w:p>
      <w:pPr>
        <w:pStyle w:val="5"/>
        <w:numPr>
          <w:ilvl w:val="0"/>
          <w:numId w:val="0"/>
        </w:numPr>
        <w:rPr>
          <w:rFonts w:hint="eastAsia"/>
        </w:rPr>
      </w:pPr>
    </w:p>
    <w:p>
      <w:pPr>
        <w:pStyle w:val="5"/>
        <w:rPr>
          <w:rFonts w:hint="eastAsia"/>
          <w:lang w:eastAsia="zh-CN"/>
        </w:rPr>
      </w:pPr>
    </w:p>
    <w:p>
      <w:pPr>
        <w:pStyle w:val="5"/>
        <w:rPr>
          <w:rFonts w:hint="eastAsia"/>
          <w:lang w:eastAsia="zh-CN"/>
        </w:rPr>
      </w:pPr>
    </w:p>
    <w:p>
      <w:pPr>
        <w:pStyle w:val="8"/>
        <w:numPr>
          <w:ilvl w:val="0"/>
          <w:numId w:val="0"/>
        </w:numPr>
        <w:spacing w:line="600" w:lineRule="exact"/>
        <w:ind w:left="640" w:leftChars="0" w:right="-315" w:rightChars="-150"/>
        <w:rPr>
          <w:rFonts w:hint="default" w:ascii="仿宋" w:hAnsi="仿宋" w:eastAsia="仿宋" w:cs="仿宋"/>
          <w:b/>
          <w:bCs/>
          <w:i w:val="0"/>
          <w:caps w:val="0"/>
          <w:color w:val="000000"/>
          <w:spacing w:val="0"/>
          <w:sz w:val="32"/>
          <w:szCs w:val="32"/>
          <w:shd w:val="clear" w:fill="FFFFFF"/>
          <w:lang w:val="en-US" w:eastAsia="zh-CN"/>
        </w:rPr>
      </w:pPr>
    </w:p>
    <w:p>
      <w:pPr>
        <w:pStyle w:val="8"/>
        <w:numPr>
          <w:ilvl w:val="0"/>
          <w:numId w:val="0"/>
        </w:numPr>
        <w:spacing w:line="600" w:lineRule="exact"/>
        <w:ind w:right="-315" w:rightChars="-150"/>
        <w:jc w:val="left"/>
        <w:rPr>
          <w:rFonts w:hint="eastAsia" w:ascii="仿宋" w:hAnsi="仿宋" w:eastAsia="仿宋" w:cs="仿宋"/>
          <w:b/>
          <w:bCs/>
          <w:i w:val="0"/>
          <w:caps w:val="0"/>
          <w:color w:val="000000"/>
          <w:spacing w:val="0"/>
          <w:sz w:val="32"/>
          <w:szCs w:val="32"/>
          <w:shd w:val="clear" w:fill="FFFFFF"/>
          <w:lang w:val="en-US" w:eastAsia="zh-CN"/>
        </w:rPr>
      </w:pPr>
    </w:p>
    <w:p>
      <w:pPr>
        <w:pStyle w:val="8"/>
        <w:numPr>
          <w:ilvl w:val="0"/>
          <w:numId w:val="0"/>
        </w:numPr>
        <w:spacing w:line="600" w:lineRule="exact"/>
        <w:ind w:right="-315" w:rightChars="-150"/>
        <w:rPr>
          <w:rFonts w:hint="eastAsia" w:ascii="仿宋" w:hAnsi="仿宋" w:eastAsia="仿宋" w:cs="仿宋"/>
          <w:b/>
          <w:bCs/>
          <w:i w:val="0"/>
          <w:caps w:val="0"/>
          <w:color w:val="000000"/>
          <w:spacing w:val="0"/>
          <w:sz w:val="32"/>
          <w:szCs w:val="32"/>
          <w:shd w:val="clear" w:fill="FFFFFF"/>
          <w:lang w:val="en-US" w:eastAsia="zh-CN"/>
        </w:rPr>
      </w:pPr>
    </w:p>
    <w:p>
      <w:pPr>
        <w:pStyle w:val="8"/>
        <w:spacing w:line="600" w:lineRule="exact"/>
        <w:ind w:left="-315" w:leftChars="-150" w:right="-315" w:rightChars="-150" w:firstLine="600" w:firstLineChars="200"/>
        <w:rPr>
          <w:rFonts w:hint="eastAsia" w:ascii="仿宋" w:hAnsi="仿宋" w:eastAsia="仿宋" w:cs="仿宋"/>
          <w:sz w:val="30"/>
          <w:szCs w:val="30"/>
        </w:rPr>
      </w:pPr>
    </w:p>
    <w:p>
      <w:pPr>
        <w:pStyle w:val="8"/>
        <w:spacing w:line="600" w:lineRule="exact"/>
        <w:ind w:left="-315" w:leftChars="-150" w:right="-315" w:rightChars="-150" w:firstLine="600" w:firstLineChars="200"/>
        <w:rPr>
          <w:rFonts w:hint="eastAsia" w:ascii="仿宋" w:hAnsi="仿宋" w:eastAsia="仿宋" w:cs="仿宋"/>
          <w:sz w:val="30"/>
          <w:szCs w:val="30"/>
        </w:rPr>
      </w:pPr>
    </w:p>
    <w:p>
      <w:pPr>
        <w:pStyle w:val="8"/>
        <w:spacing w:line="600" w:lineRule="exact"/>
        <w:ind w:left="-315" w:leftChars="-150" w:right="-315" w:rightChars="-150" w:firstLine="600" w:firstLineChars="200"/>
        <w:rPr>
          <w:rFonts w:hint="eastAsia" w:ascii="仿宋" w:hAnsi="仿宋" w:eastAsia="仿宋" w:cs="仿宋"/>
          <w:sz w:val="30"/>
          <w:szCs w:val="30"/>
        </w:rPr>
      </w:pPr>
    </w:p>
    <w:p>
      <w:pPr>
        <w:pStyle w:val="8"/>
        <w:spacing w:line="600" w:lineRule="exact"/>
        <w:ind w:left="-315" w:leftChars="-150" w:right="-315" w:rightChars="-150" w:firstLine="600" w:firstLineChars="200"/>
        <w:rPr>
          <w:rFonts w:hint="eastAsia" w:ascii="仿宋" w:hAnsi="仿宋" w:eastAsia="仿宋" w:cs="仿宋"/>
          <w:sz w:val="30"/>
          <w:szCs w:val="30"/>
        </w:rPr>
      </w:pPr>
    </w:p>
    <w:p>
      <w:pPr>
        <w:pStyle w:val="2"/>
        <w:rPr>
          <w:rFonts w:hint="default" w:eastAsia="仿宋_GB2312"/>
          <w:lang w:val="en-US" w:eastAsia="zh-CN"/>
        </w:rPr>
      </w:pPr>
    </w:p>
    <w:p>
      <w:pPr>
        <w:pStyle w:val="2"/>
        <w:rPr>
          <w:rFonts w:hint="eastAsia" w:ascii="仿宋" w:hAnsi="仿宋" w:eastAsia="仿宋" w:cs="仿宋"/>
          <w:b/>
          <w:bCs/>
          <w:sz w:val="32"/>
          <w:szCs w:val="32"/>
        </w:rPr>
      </w:pPr>
    </w:p>
    <w:p>
      <w:pPr>
        <w:pStyle w:val="2"/>
        <w:numPr>
          <w:ilvl w:val="0"/>
          <w:numId w:val="0"/>
        </w:numPr>
      </w:pPr>
    </w:p>
    <w:p>
      <w:pPr>
        <w:pStyle w:val="2"/>
        <w:rPr>
          <w:rFonts w:hint="default"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numPr>
          <w:ilvl w:val="0"/>
          <w:numId w:val="0"/>
        </w:numPr>
        <w:spacing w:before="0" w:after="0" w:line="240" w:lineRule="auto"/>
        <w:ind w:right="0" w:rightChars="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20886"/>
    <w:multiLevelType w:val="singleLevel"/>
    <w:tmpl w:val="24620886"/>
    <w:lvl w:ilvl="0" w:tentative="0">
      <w:start w:val="5"/>
      <w:numFmt w:val="chineseCounting"/>
      <w:suff w:val="nothing"/>
      <w:lvlText w:val="%1、"/>
      <w:lvlJc w:val="left"/>
      <w:rPr>
        <w:rFonts w:hint="eastAsia"/>
      </w:rPr>
    </w:lvl>
  </w:abstractNum>
  <w:abstractNum w:abstractNumId="1">
    <w:nsid w:val="4163F070"/>
    <w:multiLevelType w:val="singleLevel"/>
    <w:tmpl w:val="4163F070"/>
    <w:lvl w:ilvl="0" w:tentative="0">
      <w:start w:val="5"/>
      <w:numFmt w:val="decimal"/>
      <w:suff w:val="nothing"/>
      <w:lvlText w:val="%1、"/>
      <w:lvlJc w:val="left"/>
    </w:lvl>
  </w:abstractNum>
  <w:abstractNum w:abstractNumId="2">
    <w:nsid w:val="58D1D9B3"/>
    <w:multiLevelType w:val="singleLevel"/>
    <w:tmpl w:val="58D1D9B3"/>
    <w:lvl w:ilvl="0" w:tentative="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compat>
    <w:useFELayout/>
    <w:splitPgBreakAndParaMark/>
    <w:compatSetting w:name="compatibilityMode" w:uri="http://schemas.microsoft.com/office/word" w:val="12"/>
  </w:compat>
  <w:docVars>
    <w:docVar w:name="commondata" w:val="eyJoZGlkIjoiM2NlMTgyOGNjMDcxMDExZTMzODViNzVhZTEyY2YxYjkifQ=="/>
  </w:docVars>
  <w:rsids>
    <w:rsidRoot w:val="00000000"/>
    <w:rsid w:val="06CD58B0"/>
    <w:rsid w:val="06EA2805"/>
    <w:rsid w:val="18691943"/>
    <w:rsid w:val="240068F2"/>
    <w:rsid w:val="2CED4495"/>
    <w:rsid w:val="3FC06324"/>
    <w:rsid w:val="50F809EE"/>
    <w:rsid w:val="517B64FE"/>
    <w:rsid w:val="5A285200"/>
    <w:rsid w:val="5E742F55"/>
    <w:rsid w:val="5F7E00AE"/>
    <w:rsid w:val="60805558"/>
    <w:rsid w:val="7AC93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sz w:val="21"/>
      <w:szCs w:val="22"/>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ody Text Indent"/>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left="200" w:leftChars="200" w:firstLine="420"/>
    </w:pPr>
    <w:rPr>
      <w:rFonts w:ascii="Times New Roman"/>
    </w:rPr>
  </w:style>
  <w:style w:type="paragraph" w:customStyle="1" w:styleId="8">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12449</Words>
  <Characters>13172</Characters>
  <TotalTime>17</TotalTime>
  <ScaleCrop>false</ScaleCrop>
  <LinksUpToDate>false</LinksUpToDate>
  <CharactersWithSpaces>13213</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2020-12-20T11:22:00Z</dcterms:created>
  <dc:creator>Administrator</dc:creator>
  <cp:lastModifiedBy>不二臣</cp:lastModifiedBy>
  <cp:lastPrinted>2020-12-20T11:28:00Z</cp:lastPrinted>
  <dcterms:modified xsi:type="dcterms:W3CDTF">2025-04-08T09:09:09Z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C1E02ACD56B04F7ABFF0F098A29EF87D</vt:lpwstr>
  </property>
</Properties>
</file>