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rPr>
          <w:rFonts w:ascii="仿宋" w:hAnsi="仿宋" w:eastAsia="仿宋" w:cs="仿宋"/>
          <w:b/>
          <w:bCs/>
          <w:kern w:val="0"/>
          <w:sz w:val="32"/>
          <w:szCs w:val="32"/>
          <w:shd w:val="clear" w:color="auto" w:fill="FFFFFF"/>
          <w:lang w:bidi="ar"/>
        </w:rPr>
      </w:pPr>
      <w:bookmarkStart w:id="0" w:name="_GoBack"/>
      <w:bookmarkEnd w:id="0"/>
    </w:p>
    <w:p>
      <w:pPr>
        <w:spacing w:line="460" w:lineRule="exact"/>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rPr>
        <w:t>沙河市</w:t>
      </w:r>
      <w:r>
        <w:rPr>
          <w:rFonts w:hint="eastAsia" w:asciiTheme="majorEastAsia" w:hAnsiTheme="majorEastAsia" w:eastAsiaTheme="majorEastAsia" w:cstheme="majorEastAsia"/>
          <w:b/>
          <w:bCs/>
          <w:sz w:val="44"/>
          <w:szCs w:val="44"/>
          <w:lang w:eastAsia="zh-CN"/>
        </w:rPr>
        <w:t>东石岭水库库渠事务中心</w:t>
      </w:r>
    </w:p>
    <w:p>
      <w:pPr>
        <w:spacing w:line="46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202</w:t>
      </w:r>
      <w:r>
        <w:rPr>
          <w:rFonts w:hint="eastAsia" w:asciiTheme="majorEastAsia" w:hAnsiTheme="majorEastAsia" w:eastAsiaTheme="majorEastAsia" w:cstheme="majorEastAsia"/>
          <w:b/>
          <w:bCs/>
          <w:sz w:val="44"/>
          <w:szCs w:val="44"/>
          <w:lang w:val="en-US" w:eastAsia="zh-CN"/>
        </w:rPr>
        <w:t>1</w:t>
      </w:r>
      <w:r>
        <w:rPr>
          <w:rFonts w:hint="eastAsia" w:asciiTheme="majorEastAsia" w:hAnsiTheme="majorEastAsia" w:eastAsiaTheme="majorEastAsia" w:cstheme="majorEastAsia"/>
          <w:b/>
          <w:bCs/>
          <w:sz w:val="44"/>
          <w:szCs w:val="44"/>
        </w:rPr>
        <w:t>年部门整体支出绩效评价报告</w:t>
      </w:r>
    </w:p>
    <w:p>
      <w:pPr>
        <w:spacing w:line="460" w:lineRule="exact"/>
        <w:rPr>
          <w:rFonts w:hint="eastAsia"/>
          <w:b/>
          <w:sz w:val="30"/>
          <w:szCs w:val="30"/>
        </w:rPr>
      </w:pPr>
    </w:p>
    <w:p>
      <w:pPr>
        <w:numPr>
          <w:ilvl w:val="0"/>
          <w:numId w:val="1"/>
        </w:numPr>
        <w:spacing w:line="460" w:lineRule="exact"/>
        <w:rPr>
          <w:rFonts w:hint="eastAsia"/>
          <w:b/>
          <w:sz w:val="30"/>
          <w:szCs w:val="30"/>
        </w:rPr>
      </w:pPr>
      <w:r>
        <w:rPr>
          <w:rFonts w:hint="eastAsia"/>
          <w:b/>
          <w:sz w:val="30"/>
          <w:szCs w:val="30"/>
        </w:rPr>
        <w:t>基本概况：</w:t>
      </w:r>
    </w:p>
    <w:p>
      <w:pPr>
        <w:numPr>
          <w:ilvl w:val="0"/>
          <w:numId w:val="0"/>
        </w:numPr>
        <w:spacing w:line="460" w:lineRule="exact"/>
        <w:ind w:leftChars="0" w:firstLine="643" w:firstLineChars="200"/>
        <w:rPr>
          <w:rFonts w:hint="eastAsia" w:ascii="仿宋" w:hAnsi="仿宋" w:eastAsia="仿宋"/>
          <w:b/>
          <w:sz w:val="32"/>
          <w:szCs w:val="32"/>
        </w:rPr>
      </w:pPr>
      <w:r>
        <w:rPr>
          <w:rFonts w:hint="eastAsia" w:ascii="仿宋" w:hAnsi="仿宋" w:eastAsia="仿宋"/>
          <w:b/>
          <w:sz w:val="32"/>
          <w:szCs w:val="32"/>
          <w:lang w:eastAsia="zh-CN"/>
        </w:rPr>
        <w:t>（一）</w:t>
      </w:r>
      <w:r>
        <w:rPr>
          <w:rFonts w:hint="eastAsia" w:ascii="仿宋" w:hAnsi="仿宋" w:eastAsia="仿宋"/>
          <w:b/>
          <w:sz w:val="32"/>
          <w:szCs w:val="32"/>
        </w:rPr>
        <w:t>部门职责：</w:t>
      </w:r>
    </w:p>
    <w:p>
      <w:pPr>
        <w:spacing w:line="460" w:lineRule="exact"/>
        <w:ind w:firstLine="600" w:firstLineChars="200"/>
        <w:rPr>
          <w:rFonts w:hint="eastAsia" w:ascii="仿宋" w:hAnsi="仿宋" w:eastAsia="仿宋"/>
          <w:sz w:val="30"/>
          <w:szCs w:val="30"/>
        </w:rPr>
      </w:pPr>
      <w:r>
        <w:rPr>
          <w:rFonts w:hint="eastAsia" w:ascii="仿宋" w:hAnsi="仿宋" w:eastAsia="仿宋"/>
          <w:sz w:val="30"/>
          <w:szCs w:val="30"/>
          <w:lang w:val="en-US" w:eastAsia="zh-CN"/>
        </w:rPr>
        <w:t>1、</w:t>
      </w:r>
      <w:r>
        <w:rPr>
          <w:rFonts w:hint="eastAsia" w:ascii="仿宋" w:hAnsi="仿宋" w:eastAsia="仿宋"/>
          <w:sz w:val="30"/>
          <w:szCs w:val="30"/>
        </w:rPr>
        <w:t>负责库渠工程防汛工作，确保水库安全调度</w:t>
      </w:r>
      <w:r>
        <w:rPr>
          <w:rFonts w:hint="eastAsia" w:ascii="仿宋" w:hAnsi="仿宋" w:eastAsia="仿宋"/>
          <w:sz w:val="30"/>
          <w:szCs w:val="30"/>
          <w:lang w:eastAsia="zh-CN"/>
        </w:rPr>
        <w:t>运行。</w:t>
      </w:r>
    </w:p>
    <w:p>
      <w:pPr>
        <w:spacing w:line="460" w:lineRule="exact"/>
        <w:ind w:firstLine="600" w:firstLineChars="200"/>
        <w:rPr>
          <w:rFonts w:hint="eastAsia" w:ascii="仿宋" w:hAnsi="仿宋" w:eastAsia="仿宋"/>
          <w:sz w:val="30"/>
          <w:szCs w:val="30"/>
        </w:rPr>
      </w:pPr>
      <w:r>
        <w:rPr>
          <w:rFonts w:hint="eastAsia" w:ascii="仿宋" w:hAnsi="仿宋" w:eastAsia="仿宋"/>
          <w:sz w:val="30"/>
          <w:szCs w:val="30"/>
          <w:lang w:val="en-US" w:eastAsia="zh-CN"/>
        </w:rPr>
        <w:t>2、</w:t>
      </w:r>
      <w:r>
        <w:rPr>
          <w:rFonts w:hint="eastAsia" w:ascii="仿宋" w:hAnsi="仿宋" w:eastAsia="仿宋"/>
          <w:sz w:val="30"/>
          <w:szCs w:val="30"/>
        </w:rPr>
        <w:t>负责大坝等枢纽工程的维护、养护工作，确保工程安全运行。</w:t>
      </w:r>
    </w:p>
    <w:p>
      <w:pPr>
        <w:spacing w:line="460" w:lineRule="exact"/>
        <w:ind w:firstLine="600" w:firstLineChars="200"/>
        <w:rPr>
          <w:rFonts w:hint="eastAsia" w:ascii="仿宋" w:hAnsi="仿宋" w:eastAsia="仿宋"/>
          <w:sz w:val="30"/>
          <w:szCs w:val="30"/>
        </w:rPr>
      </w:pPr>
      <w:r>
        <w:rPr>
          <w:rFonts w:hint="eastAsia" w:ascii="仿宋" w:hAnsi="仿宋" w:eastAsia="仿宋"/>
          <w:sz w:val="30"/>
          <w:szCs w:val="30"/>
          <w:lang w:val="en-US" w:eastAsia="zh-CN"/>
        </w:rPr>
        <w:t>3、</w:t>
      </w:r>
      <w:r>
        <w:rPr>
          <w:rFonts w:hint="eastAsia" w:ascii="仿宋" w:hAnsi="仿宋" w:eastAsia="仿宋"/>
          <w:sz w:val="30"/>
          <w:szCs w:val="30"/>
        </w:rPr>
        <w:t>负责灌区管理工作，确保受益乡村农田适时灌溉，生活饮用水及时供应。</w:t>
      </w:r>
    </w:p>
    <w:p>
      <w:pPr>
        <w:spacing w:line="460" w:lineRule="exact"/>
        <w:ind w:firstLine="600" w:firstLineChars="200"/>
        <w:rPr>
          <w:rFonts w:hint="eastAsia" w:ascii="仿宋" w:hAnsi="仿宋" w:eastAsia="仿宋"/>
          <w:sz w:val="30"/>
          <w:szCs w:val="30"/>
        </w:rPr>
      </w:pPr>
      <w:r>
        <w:rPr>
          <w:rFonts w:hint="eastAsia" w:ascii="仿宋" w:hAnsi="仿宋" w:eastAsia="仿宋"/>
          <w:sz w:val="30"/>
          <w:szCs w:val="30"/>
        </w:rPr>
        <w:t>4、承办市政府交办的其他事项。</w:t>
      </w:r>
    </w:p>
    <w:p>
      <w:pPr>
        <w:spacing w:line="460" w:lineRule="exact"/>
        <w:ind w:firstLine="450" w:firstLineChars="150"/>
        <w:rPr>
          <w:rFonts w:ascii="仿宋" w:hAnsi="仿宋" w:eastAsia="仿宋"/>
          <w:bCs/>
          <w:sz w:val="30"/>
          <w:szCs w:val="30"/>
        </w:rPr>
      </w:pPr>
      <w:r>
        <w:rPr>
          <w:rFonts w:hint="eastAsia" w:ascii="仿宋" w:hAnsi="仿宋" w:eastAsia="仿宋"/>
          <w:bCs/>
          <w:sz w:val="30"/>
          <w:szCs w:val="30"/>
        </w:rPr>
        <w:t>机构设置：</w:t>
      </w:r>
    </w:p>
    <w:p>
      <w:pPr>
        <w:spacing w:line="460" w:lineRule="exact"/>
        <w:ind w:firstLine="2850" w:firstLineChars="950"/>
        <w:rPr>
          <w:rFonts w:ascii="仿宋" w:hAnsi="仿宋" w:eastAsia="仿宋"/>
          <w:sz w:val="30"/>
          <w:szCs w:val="30"/>
        </w:rPr>
      </w:pPr>
      <w:r>
        <w:rPr>
          <w:rFonts w:hint="eastAsia" w:ascii="仿宋" w:hAnsi="仿宋" w:eastAsia="仿宋"/>
          <w:sz w:val="30"/>
          <w:szCs w:val="30"/>
        </w:rPr>
        <w:t>部门机构设置情况</w:t>
      </w:r>
    </w:p>
    <w:tbl>
      <w:tblPr>
        <w:tblStyle w:val="8"/>
        <w:tblpPr w:leftFromText="180" w:rightFromText="180" w:vertAnchor="text" w:horzAnchor="page" w:tblpX="1781" w:tblpY="109"/>
        <w:tblOverlap w:val="never"/>
        <w:tblW w:w="882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95"/>
        <w:gridCol w:w="1442"/>
        <w:gridCol w:w="1276"/>
        <w:gridCol w:w="23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3795" w:type="dxa"/>
            <w:vMerge w:val="restart"/>
            <w:noWrap w:val="0"/>
            <w:vAlign w:val="center"/>
          </w:tcPr>
          <w:p>
            <w:pPr>
              <w:spacing w:line="300" w:lineRule="exact"/>
              <w:jc w:val="center"/>
              <w:rPr>
                <w:rFonts w:hint="eastAsia" w:ascii="仿宋_GB2312" w:hAnsi="仿宋_GB2312" w:eastAsia="仿宋_GB2312"/>
                <w:b/>
                <w:sz w:val="24"/>
                <w:szCs w:val="28"/>
              </w:rPr>
            </w:pPr>
            <w:r>
              <w:rPr>
                <w:rFonts w:hint="eastAsia" w:ascii="仿宋_GB2312" w:hAnsi="仿宋_GB2312" w:eastAsia="仿宋_GB2312"/>
                <w:b/>
                <w:sz w:val="24"/>
                <w:szCs w:val="28"/>
              </w:rPr>
              <w:t>单位名称</w:t>
            </w:r>
          </w:p>
        </w:tc>
        <w:tc>
          <w:tcPr>
            <w:tcW w:w="1442" w:type="dxa"/>
            <w:vMerge w:val="restart"/>
            <w:noWrap w:val="0"/>
            <w:vAlign w:val="center"/>
          </w:tcPr>
          <w:p>
            <w:pPr>
              <w:spacing w:line="300" w:lineRule="exact"/>
              <w:jc w:val="center"/>
              <w:rPr>
                <w:rFonts w:hint="eastAsia" w:ascii="仿宋_GB2312" w:hAnsi="仿宋_GB2312" w:eastAsia="仿宋_GB2312"/>
                <w:b/>
                <w:sz w:val="24"/>
                <w:szCs w:val="28"/>
              </w:rPr>
            </w:pPr>
            <w:r>
              <w:rPr>
                <w:rFonts w:hint="eastAsia" w:ascii="仿宋_GB2312" w:hAnsi="仿宋_GB2312" w:eastAsia="仿宋_GB2312"/>
                <w:b/>
                <w:sz w:val="24"/>
                <w:szCs w:val="28"/>
              </w:rPr>
              <w:t>单位性质</w:t>
            </w:r>
          </w:p>
        </w:tc>
        <w:tc>
          <w:tcPr>
            <w:tcW w:w="1276" w:type="dxa"/>
            <w:vMerge w:val="restart"/>
            <w:noWrap w:val="0"/>
            <w:vAlign w:val="center"/>
          </w:tcPr>
          <w:p>
            <w:pPr>
              <w:spacing w:line="300" w:lineRule="exact"/>
              <w:jc w:val="center"/>
              <w:rPr>
                <w:rFonts w:hint="eastAsia" w:ascii="仿宋_GB2312" w:hAnsi="仿宋_GB2312" w:eastAsia="仿宋_GB2312"/>
                <w:b/>
                <w:sz w:val="24"/>
                <w:szCs w:val="28"/>
              </w:rPr>
            </w:pPr>
            <w:r>
              <w:rPr>
                <w:rFonts w:hint="eastAsia" w:ascii="仿宋_GB2312" w:hAnsi="仿宋_GB2312" w:eastAsia="仿宋_GB2312"/>
                <w:b/>
                <w:sz w:val="24"/>
                <w:szCs w:val="28"/>
              </w:rPr>
              <w:t>单位规格</w:t>
            </w:r>
          </w:p>
        </w:tc>
        <w:tc>
          <w:tcPr>
            <w:tcW w:w="2312" w:type="dxa"/>
            <w:vMerge w:val="restart"/>
            <w:noWrap w:val="0"/>
            <w:vAlign w:val="center"/>
          </w:tcPr>
          <w:p>
            <w:pPr>
              <w:spacing w:line="300" w:lineRule="exact"/>
              <w:jc w:val="center"/>
              <w:rPr>
                <w:rFonts w:hint="eastAsia" w:ascii="仿宋_GB2312" w:hAnsi="仿宋_GB2312" w:eastAsia="仿宋_GB2312"/>
                <w:b/>
                <w:sz w:val="24"/>
                <w:szCs w:val="28"/>
              </w:rPr>
            </w:pPr>
            <w:r>
              <w:rPr>
                <w:rFonts w:hint="eastAsia" w:ascii="仿宋_GB2312" w:hAnsi="仿宋_GB2312" w:eastAsia="仿宋_GB2312"/>
                <w:b/>
                <w:sz w:val="24"/>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3795" w:type="dxa"/>
            <w:vMerge w:val="continue"/>
            <w:noWrap w:val="0"/>
            <w:vAlign w:val="center"/>
          </w:tcPr>
          <w:p>
            <w:pPr>
              <w:spacing w:line="300" w:lineRule="exact"/>
              <w:jc w:val="left"/>
              <w:outlineLvl w:val="0"/>
              <w:rPr>
                <w:rFonts w:hint="eastAsia" w:ascii="仿宋_GB2312" w:hAnsi="仿宋_GB2312" w:eastAsia="仿宋_GB2312"/>
              </w:rPr>
            </w:pPr>
          </w:p>
        </w:tc>
        <w:tc>
          <w:tcPr>
            <w:tcW w:w="1442" w:type="dxa"/>
            <w:vMerge w:val="continue"/>
            <w:noWrap w:val="0"/>
            <w:vAlign w:val="center"/>
          </w:tcPr>
          <w:p>
            <w:pPr>
              <w:spacing w:line="300" w:lineRule="exact"/>
              <w:jc w:val="left"/>
              <w:outlineLvl w:val="0"/>
              <w:rPr>
                <w:rFonts w:hint="eastAsia" w:ascii="仿宋_GB2312" w:hAnsi="仿宋_GB2312" w:eastAsia="仿宋_GB2312"/>
              </w:rPr>
            </w:pPr>
          </w:p>
        </w:tc>
        <w:tc>
          <w:tcPr>
            <w:tcW w:w="1276" w:type="dxa"/>
            <w:vMerge w:val="continue"/>
            <w:noWrap w:val="0"/>
            <w:vAlign w:val="center"/>
          </w:tcPr>
          <w:p>
            <w:pPr>
              <w:spacing w:line="300" w:lineRule="exact"/>
              <w:jc w:val="left"/>
              <w:outlineLvl w:val="0"/>
              <w:rPr>
                <w:rFonts w:hint="eastAsia" w:ascii="仿宋_GB2312" w:hAnsi="仿宋_GB2312" w:eastAsia="仿宋_GB2312"/>
              </w:rPr>
            </w:pPr>
          </w:p>
        </w:tc>
        <w:tc>
          <w:tcPr>
            <w:tcW w:w="2312" w:type="dxa"/>
            <w:vMerge w:val="continue"/>
            <w:noWrap w:val="0"/>
            <w:vAlign w:val="center"/>
          </w:tcPr>
          <w:p>
            <w:pPr>
              <w:spacing w:line="300" w:lineRule="exact"/>
              <w:jc w:val="left"/>
              <w:outlineLvl w:val="0"/>
              <w:rPr>
                <w:rFonts w:hint="eastAsia" w:ascii="仿宋_GB2312" w:hAns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5" w:hRule="atLeast"/>
        </w:trPr>
        <w:tc>
          <w:tcPr>
            <w:tcW w:w="3795" w:type="dxa"/>
            <w:noWrap w:val="0"/>
            <w:vAlign w:val="center"/>
          </w:tcPr>
          <w:p>
            <w:pPr>
              <w:spacing w:line="300" w:lineRule="exact"/>
              <w:jc w:val="left"/>
              <w:rPr>
                <w:rFonts w:hint="eastAsia" w:ascii="仿宋_GB2312" w:hAnsi="仿宋_GB2312" w:eastAsia="仿宋_GB2312"/>
                <w:sz w:val="24"/>
                <w:szCs w:val="28"/>
                <w:lang w:eastAsia="zh-CN"/>
              </w:rPr>
            </w:pPr>
            <w:r>
              <w:rPr>
                <w:rFonts w:hint="eastAsia" w:ascii="仿宋_GB2312" w:hAnsi="仿宋_GB2312" w:eastAsia="仿宋_GB2312"/>
                <w:sz w:val="24"/>
                <w:szCs w:val="28"/>
                <w:lang w:eastAsia="zh-CN"/>
              </w:rPr>
              <w:t>沙河市东石岭水库库渠事务中心</w:t>
            </w:r>
          </w:p>
        </w:tc>
        <w:tc>
          <w:tcPr>
            <w:tcW w:w="1442" w:type="dxa"/>
            <w:noWrap w:val="0"/>
            <w:vAlign w:val="center"/>
          </w:tcPr>
          <w:p>
            <w:pPr>
              <w:spacing w:line="300" w:lineRule="exact"/>
              <w:jc w:val="center"/>
              <w:rPr>
                <w:rFonts w:hint="eastAsia" w:ascii="仿宋_GB2312" w:hAnsi="仿宋_GB2312" w:eastAsia="仿宋_GB2312"/>
                <w:sz w:val="24"/>
                <w:szCs w:val="28"/>
                <w:lang w:eastAsia="zh-CN"/>
              </w:rPr>
            </w:pPr>
            <w:r>
              <w:rPr>
                <w:rFonts w:hint="eastAsia" w:ascii="仿宋_GB2312" w:hAnsi="仿宋_GB2312" w:eastAsia="仿宋_GB2312"/>
                <w:sz w:val="24"/>
                <w:szCs w:val="28"/>
                <w:lang w:eastAsia="zh-CN"/>
              </w:rPr>
              <w:t>事业</w:t>
            </w:r>
          </w:p>
        </w:tc>
        <w:tc>
          <w:tcPr>
            <w:tcW w:w="1276" w:type="dxa"/>
            <w:noWrap w:val="0"/>
            <w:vAlign w:val="center"/>
          </w:tcPr>
          <w:p>
            <w:pPr>
              <w:spacing w:line="300" w:lineRule="exact"/>
              <w:jc w:val="center"/>
              <w:rPr>
                <w:rFonts w:hint="eastAsia" w:ascii="仿宋_GB2312" w:hAnsi="仿宋_GB2312" w:eastAsia="仿宋_GB2312"/>
                <w:sz w:val="24"/>
                <w:szCs w:val="28"/>
              </w:rPr>
            </w:pPr>
            <w:r>
              <w:rPr>
                <w:rFonts w:hint="eastAsia" w:ascii="仿宋_GB2312" w:hAnsi="仿宋_GB2312" w:eastAsia="仿宋_GB2312"/>
                <w:sz w:val="24"/>
                <w:szCs w:val="28"/>
              </w:rPr>
              <w:t>正</w:t>
            </w:r>
            <w:r>
              <w:rPr>
                <w:rFonts w:hint="eastAsia" w:ascii="仿宋_GB2312" w:hAnsi="仿宋_GB2312" w:eastAsia="仿宋_GB2312"/>
                <w:sz w:val="24"/>
                <w:szCs w:val="28"/>
                <w:lang w:eastAsia="zh-CN"/>
              </w:rPr>
              <w:t>科</w:t>
            </w:r>
            <w:r>
              <w:rPr>
                <w:rFonts w:hint="eastAsia" w:ascii="仿宋_GB2312" w:hAnsi="仿宋_GB2312" w:eastAsia="仿宋_GB2312"/>
                <w:sz w:val="24"/>
                <w:szCs w:val="28"/>
              </w:rPr>
              <w:t>级</w:t>
            </w:r>
          </w:p>
        </w:tc>
        <w:tc>
          <w:tcPr>
            <w:tcW w:w="2312" w:type="dxa"/>
            <w:noWrap w:val="0"/>
            <w:vAlign w:val="center"/>
          </w:tcPr>
          <w:p>
            <w:pPr>
              <w:spacing w:line="300" w:lineRule="exact"/>
              <w:jc w:val="center"/>
              <w:rPr>
                <w:rFonts w:hint="eastAsia" w:ascii="仿宋_GB2312" w:hAnsi="仿宋_GB2312" w:eastAsia="仿宋_GB2312"/>
                <w:sz w:val="24"/>
                <w:szCs w:val="28"/>
                <w:lang w:eastAsia="zh-CN"/>
              </w:rPr>
            </w:pPr>
            <w:r>
              <w:rPr>
                <w:rFonts w:hint="eastAsia" w:ascii="仿宋_GB2312" w:hAnsi="仿宋_GB2312" w:eastAsia="仿宋_GB2312"/>
                <w:sz w:val="24"/>
                <w:szCs w:val="28"/>
                <w:lang w:eastAsia="zh-CN"/>
              </w:rPr>
              <w:t>事业差额</w:t>
            </w:r>
          </w:p>
        </w:tc>
      </w:tr>
    </w:tbl>
    <w:p>
      <w:pPr>
        <w:spacing w:line="460" w:lineRule="exact"/>
        <w:ind w:firstLine="600" w:firstLineChars="200"/>
        <w:rPr>
          <w:rFonts w:hint="eastAsia"/>
          <w:sz w:val="30"/>
          <w:szCs w:val="30"/>
        </w:rPr>
      </w:pPr>
      <w:r>
        <w:rPr>
          <w:rFonts w:hint="eastAsia"/>
          <w:sz w:val="30"/>
          <w:szCs w:val="30"/>
        </w:rPr>
        <w:t>人员及资产情况：</w:t>
      </w:r>
    </w:p>
    <w:p>
      <w:pPr>
        <w:spacing w:line="460" w:lineRule="exact"/>
        <w:ind w:firstLine="600" w:firstLineChars="200"/>
        <w:rPr>
          <w:rFonts w:hint="eastAsia" w:ascii="仿宋" w:hAnsi="仿宋" w:eastAsia="仿宋"/>
          <w:sz w:val="30"/>
          <w:szCs w:val="30"/>
        </w:rPr>
      </w:pPr>
      <w:r>
        <w:rPr>
          <w:rFonts w:hint="eastAsia" w:ascii="仿宋" w:hAnsi="仿宋" w:eastAsia="仿宋"/>
          <w:sz w:val="30"/>
          <w:szCs w:val="30"/>
        </w:rPr>
        <w:t>我单位</w:t>
      </w:r>
      <w:r>
        <w:rPr>
          <w:rFonts w:hint="eastAsia" w:ascii="仿宋" w:hAnsi="仿宋" w:eastAsia="仿宋"/>
          <w:sz w:val="30"/>
          <w:szCs w:val="30"/>
          <w:lang w:eastAsia="zh-CN"/>
        </w:rPr>
        <w:t>全额</w:t>
      </w:r>
      <w:r>
        <w:rPr>
          <w:rFonts w:hint="eastAsia" w:ascii="仿宋" w:hAnsi="仿宋" w:eastAsia="仿宋"/>
          <w:sz w:val="30"/>
          <w:szCs w:val="30"/>
        </w:rPr>
        <w:t>在职</w:t>
      </w:r>
      <w:r>
        <w:rPr>
          <w:rFonts w:hint="eastAsia" w:ascii="仿宋" w:hAnsi="仿宋" w:eastAsia="仿宋"/>
          <w:sz w:val="30"/>
          <w:szCs w:val="30"/>
          <w:lang w:eastAsia="zh-CN"/>
        </w:rPr>
        <w:t>人员</w:t>
      </w:r>
      <w:r>
        <w:rPr>
          <w:rFonts w:hint="eastAsia" w:ascii="仿宋" w:hAnsi="仿宋" w:eastAsia="仿宋"/>
          <w:sz w:val="30"/>
          <w:szCs w:val="30"/>
          <w:lang w:val="en-US" w:eastAsia="zh-CN"/>
        </w:rPr>
        <w:t>2</w:t>
      </w:r>
      <w:r>
        <w:rPr>
          <w:rFonts w:hint="eastAsia" w:ascii="仿宋" w:hAnsi="仿宋" w:eastAsia="仿宋"/>
          <w:sz w:val="30"/>
          <w:szCs w:val="30"/>
        </w:rPr>
        <w:t>人。</w:t>
      </w:r>
    </w:p>
    <w:p>
      <w:pPr>
        <w:spacing w:line="460" w:lineRule="exact"/>
        <w:ind w:firstLine="600" w:firstLineChars="200"/>
        <w:rPr>
          <w:rFonts w:hint="eastAsia" w:ascii="仿宋" w:hAnsi="仿宋" w:eastAsia="仿宋"/>
          <w:sz w:val="30"/>
          <w:szCs w:val="30"/>
        </w:rPr>
      </w:pPr>
      <w:r>
        <w:rPr>
          <w:rFonts w:hint="eastAsia" w:ascii="仿宋" w:hAnsi="仿宋" w:eastAsia="仿宋"/>
          <w:sz w:val="30"/>
          <w:szCs w:val="30"/>
        </w:rPr>
        <w:t>我单位本年末固定资产金额为</w:t>
      </w:r>
      <w:r>
        <w:rPr>
          <w:rFonts w:hint="eastAsia" w:ascii="仿宋" w:hAnsi="仿宋" w:eastAsia="仿宋"/>
          <w:sz w:val="30"/>
          <w:szCs w:val="30"/>
          <w:lang w:val="en-US" w:eastAsia="zh-CN"/>
        </w:rPr>
        <w:t>4993.72</w:t>
      </w:r>
      <w:r>
        <w:rPr>
          <w:rFonts w:hint="eastAsia" w:ascii="仿宋" w:hAnsi="仿宋" w:eastAsia="仿宋"/>
          <w:sz w:val="30"/>
          <w:szCs w:val="30"/>
        </w:rPr>
        <w:t>万元。</w:t>
      </w:r>
    </w:p>
    <w:p>
      <w:pPr>
        <w:spacing w:line="460" w:lineRule="exact"/>
        <w:ind w:firstLine="600" w:firstLineChars="200"/>
        <w:rPr>
          <w:rFonts w:hint="eastAsia" w:ascii="仿宋" w:hAnsi="仿宋" w:eastAsia="仿宋"/>
          <w:sz w:val="30"/>
          <w:szCs w:val="30"/>
        </w:rPr>
      </w:pPr>
    </w:p>
    <w:p>
      <w:pPr>
        <w:numPr>
          <w:ilvl w:val="0"/>
          <w:numId w:val="0"/>
        </w:numPr>
        <w:spacing w:line="460" w:lineRule="exact"/>
        <w:ind w:leftChars="0" w:firstLine="643" w:firstLineChars="200"/>
        <w:rPr>
          <w:rFonts w:hint="eastAsia" w:ascii="仿宋" w:hAnsi="仿宋" w:eastAsia="仿宋"/>
          <w:b/>
          <w:sz w:val="32"/>
          <w:szCs w:val="32"/>
        </w:rPr>
      </w:pPr>
      <w:r>
        <w:rPr>
          <w:rFonts w:hint="eastAsia" w:ascii="仿宋" w:hAnsi="仿宋" w:eastAsia="仿宋"/>
          <w:b/>
          <w:sz w:val="32"/>
          <w:szCs w:val="32"/>
          <w:lang w:eastAsia="zh-CN"/>
        </w:rPr>
        <w:t>（二）</w:t>
      </w:r>
      <w:r>
        <w:rPr>
          <w:rFonts w:hint="eastAsia" w:ascii="仿宋" w:hAnsi="仿宋" w:eastAsia="仿宋"/>
          <w:b/>
          <w:sz w:val="32"/>
          <w:szCs w:val="32"/>
        </w:rPr>
        <w:t>2021年部门整体绩效目标</w:t>
      </w:r>
    </w:p>
    <w:p>
      <w:pPr>
        <w:spacing w:line="460" w:lineRule="exact"/>
        <w:ind w:firstLine="640" w:firstLineChars="200"/>
        <w:rPr>
          <w:rFonts w:hint="eastAsia" w:ascii="仿宋" w:hAnsi="仿宋" w:eastAsia="仿宋"/>
          <w:sz w:val="30"/>
          <w:szCs w:val="30"/>
        </w:rPr>
      </w:pPr>
      <w:r>
        <w:rPr>
          <w:rFonts w:hint="eastAsia" w:ascii="仿宋_GB2312" w:hAnsi="仿宋_GB2312" w:eastAsia="仿宋_GB2312" w:cs="仿宋_GB2312"/>
          <w:sz w:val="32"/>
          <w:szCs w:val="32"/>
          <w:lang w:val="en-US" w:eastAsia="zh-CN"/>
        </w:rPr>
        <w:t>以习近平新时代中国特色社会主义思想为指导，深入贯彻党的十九届四中全会和省委九届九次全会精神，认真落实上级重大决策部署。负责库渠工程防汛工作，确保水库安全调度运行；负责大坝等枢纽工程的维护、养护工作，确保工程安全运行；负责灌区管理工作，确保受益乡村农田适时灌溉，生活饮用水及时供应。为新时代全面建设美丽沙河提供用水保障。</w:t>
      </w:r>
    </w:p>
    <w:p>
      <w:pPr>
        <w:numPr>
          <w:ilvl w:val="0"/>
          <w:numId w:val="0"/>
        </w:numPr>
        <w:spacing w:line="460" w:lineRule="exact"/>
        <w:ind w:leftChars="0" w:firstLine="643" w:firstLineChars="200"/>
        <w:rPr>
          <w:rFonts w:hint="eastAsia" w:ascii="仿宋" w:hAnsi="仿宋" w:eastAsia="仿宋"/>
          <w:b/>
          <w:sz w:val="32"/>
          <w:szCs w:val="32"/>
        </w:rPr>
      </w:pPr>
      <w:r>
        <w:rPr>
          <w:rFonts w:hint="eastAsia" w:ascii="仿宋" w:hAnsi="仿宋" w:eastAsia="仿宋"/>
          <w:b/>
          <w:sz w:val="32"/>
          <w:szCs w:val="32"/>
          <w:lang w:eastAsia="zh-CN"/>
        </w:rPr>
        <w:t>（</w:t>
      </w:r>
      <w:r>
        <w:rPr>
          <w:rFonts w:hint="eastAsia" w:ascii="仿宋" w:hAnsi="仿宋" w:eastAsia="仿宋"/>
          <w:b/>
          <w:sz w:val="32"/>
          <w:szCs w:val="32"/>
        </w:rPr>
        <w:t>三</w:t>
      </w:r>
      <w:r>
        <w:rPr>
          <w:rFonts w:hint="eastAsia" w:ascii="仿宋" w:hAnsi="仿宋" w:eastAsia="仿宋"/>
          <w:b/>
          <w:sz w:val="32"/>
          <w:szCs w:val="32"/>
          <w:lang w:eastAsia="zh-CN"/>
        </w:rPr>
        <w:t>）</w:t>
      </w:r>
      <w:r>
        <w:rPr>
          <w:rFonts w:hint="eastAsia" w:ascii="仿宋" w:hAnsi="仿宋" w:eastAsia="仿宋"/>
          <w:b/>
          <w:sz w:val="32"/>
          <w:szCs w:val="32"/>
        </w:rPr>
        <w:t>绩效评价的组织实施情况</w:t>
      </w:r>
    </w:p>
    <w:p>
      <w:pPr>
        <w:spacing w:line="460" w:lineRule="exact"/>
        <w:rPr>
          <w:rFonts w:hint="eastAsia" w:ascii="仿宋" w:hAnsi="仿宋" w:eastAsia="仿宋"/>
          <w:sz w:val="32"/>
          <w:szCs w:val="32"/>
        </w:rPr>
      </w:pPr>
      <w:r>
        <w:rPr>
          <w:rFonts w:hint="eastAsia" w:ascii="仿宋" w:hAnsi="仿宋" w:eastAsia="仿宋"/>
          <w:sz w:val="32"/>
          <w:szCs w:val="32"/>
        </w:rPr>
        <w:t xml:space="preserve">    依据部门职责及年初制定的各项工作任务对本单位绩效目标、绩效指标进行评价，评价标准主要为合理性、合规性，评价方法为按照绩效指标逐项对标评分。</w:t>
      </w:r>
    </w:p>
    <w:p>
      <w:pPr>
        <w:numPr>
          <w:ilvl w:val="0"/>
          <w:numId w:val="0"/>
        </w:numPr>
        <w:spacing w:line="460" w:lineRule="exact"/>
        <w:ind w:leftChars="0"/>
        <w:rPr>
          <w:rFonts w:hint="eastAsia" w:ascii="仿宋" w:hAnsi="仿宋" w:eastAsia="仿宋"/>
          <w:b/>
          <w:sz w:val="32"/>
          <w:szCs w:val="32"/>
        </w:rPr>
      </w:pPr>
      <w:r>
        <w:rPr>
          <w:rFonts w:hint="eastAsia" w:ascii="仿宋" w:hAnsi="仿宋" w:eastAsia="仿宋"/>
          <w:b/>
          <w:sz w:val="32"/>
          <w:szCs w:val="32"/>
          <w:lang w:val="en-US" w:eastAsia="zh-CN"/>
        </w:rPr>
        <w:t xml:space="preserve">    （四）</w:t>
      </w:r>
      <w:r>
        <w:rPr>
          <w:rFonts w:hint="eastAsia" w:ascii="仿宋" w:hAnsi="仿宋" w:eastAsia="仿宋"/>
          <w:b/>
          <w:sz w:val="32"/>
          <w:szCs w:val="32"/>
        </w:rPr>
        <w:t>各项绩效目标的实现程度及差异性原因分析</w:t>
      </w:r>
    </w:p>
    <w:p>
      <w:pPr>
        <w:spacing w:line="460" w:lineRule="exact"/>
        <w:rPr>
          <w:rFonts w:hint="eastAsia" w:ascii="仿宋" w:hAnsi="仿宋" w:eastAsia="仿宋"/>
          <w:sz w:val="32"/>
          <w:szCs w:val="32"/>
        </w:rPr>
      </w:pPr>
      <w:r>
        <w:rPr>
          <w:rFonts w:hint="eastAsia" w:ascii="仿宋" w:hAnsi="仿宋" w:eastAsia="仿宋"/>
          <w:sz w:val="32"/>
          <w:szCs w:val="32"/>
        </w:rPr>
        <w:t xml:space="preserve">    各项绩效目标均按照预期实现。</w:t>
      </w:r>
    </w:p>
    <w:p>
      <w:pPr>
        <w:numPr>
          <w:ilvl w:val="0"/>
          <w:numId w:val="0"/>
        </w:numPr>
        <w:spacing w:line="460" w:lineRule="exact"/>
        <w:ind w:leftChars="0" w:firstLine="643" w:firstLineChars="200"/>
        <w:rPr>
          <w:rFonts w:hint="eastAsia" w:ascii="仿宋" w:hAnsi="仿宋" w:eastAsia="仿宋"/>
          <w:b/>
          <w:sz w:val="32"/>
          <w:szCs w:val="32"/>
        </w:rPr>
      </w:pPr>
      <w:r>
        <w:rPr>
          <w:rFonts w:hint="eastAsia" w:ascii="仿宋" w:hAnsi="仿宋" w:eastAsia="仿宋"/>
          <w:b/>
          <w:sz w:val="32"/>
          <w:szCs w:val="32"/>
          <w:lang w:eastAsia="zh-CN"/>
        </w:rPr>
        <w:t>（五）</w:t>
      </w:r>
      <w:r>
        <w:rPr>
          <w:rFonts w:hint="eastAsia" w:ascii="仿宋" w:hAnsi="仿宋" w:eastAsia="仿宋"/>
          <w:b/>
          <w:sz w:val="32"/>
          <w:szCs w:val="32"/>
        </w:rPr>
        <w:t>存在问题、采取的纠偏措施及改进绩效管理建议</w:t>
      </w:r>
    </w:p>
    <w:p>
      <w:pPr>
        <w:spacing w:line="460" w:lineRule="exact"/>
        <w:ind w:firstLine="640" w:firstLineChars="200"/>
        <w:rPr>
          <w:rFonts w:hint="eastAsia" w:ascii="仿宋" w:hAnsi="仿宋" w:eastAsia="仿宋"/>
          <w:sz w:val="32"/>
          <w:szCs w:val="32"/>
        </w:rPr>
      </w:pPr>
      <w:r>
        <w:rPr>
          <w:rFonts w:hint="eastAsia" w:ascii="仿宋" w:hAnsi="仿宋" w:eastAsia="仿宋"/>
          <w:sz w:val="32"/>
          <w:szCs w:val="32"/>
        </w:rPr>
        <w:t>预算执行情况总体较好。下一步，我们将加强绩效目标的刚性约束，建立绩效目标考评体系，提升绩效管理水平，及时跟踪问效，实现全程可查询、可追溯、可控制，且今后预算编制时会更加精细，资金支出严格按照预算执行。</w:t>
      </w:r>
    </w:p>
    <w:p>
      <w:pPr>
        <w:spacing w:line="460" w:lineRule="exact"/>
        <w:ind w:firstLine="643" w:firstLineChars="200"/>
        <w:rPr>
          <w:rFonts w:hint="eastAsia" w:ascii="仿宋" w:hAnsi="仿宋" w:eastAsia="仿宋"/>
          <w:b/>
          <w:sz w:val="32"/>
          <w:szCs w:val="32"/>
        </w:rPr>
      </w:pPr>
      <w:r>
        <w:rPr>
          <w:rFonts w:hint="eastAsia" w:ascii="仿宋" w:hAnsi="仿宋" w:eastAsia="仿宋"/>
          <w:b/>
          <w:sz w:val="32"/>
          <w:szCs w:val="32"/>
          <w:lang w:eastAsia="zh-CN"/>
        </w:rPr>
        <w:t>（</w:t>
      </w:r>
      <w:r>
        <w:rPr>
          <w:rFonts w:hint="eastAsia" w:ascii="仿宋" w:hAnsi="仿宋" w:eastAsia="仿宋"/>
          <w:b/>
          <w:sz w:val="32"/>
          <w:szCs w:val="32"/>
        </w:rPr>
        <w:t>六</w:t>
      </w:r>
      <w:r>
        <w:rPr>
          <w:rFonts w:hint="eastAsia" w:ascii="仿宋" w:hAnsi="仿宋" w:eastAsia="仿宋"/>
          <w:b/>
          <w:sz w:val="32"/>
          <w:szCs w:val="32"/>
          <w:lang w:eastAsia="zh-CN"/>
        </w:rPr>
        <w:t>）</w:t>
      </w:r>
      <w:r>
        <w:rPr>
          <w:rFonts w:hint="eastAsia" w:ascii="仿宋" w:hAnsi="仿宋" w:eastAsia="仿宋"/>
          <w:b/>
          <w:sz w:val="32"/>
          <w:szCs w:val="32"/>
        </w:rPr>
        <w:t>、其他需要说明的问题：</w:t>
      </w:r>
    </w:p>
    <w:p>
      <w:pPr>
        <w:spacing w:line="460" w:lineRule="exact"/>
        <w:ind w:firstLine="960" w:firstLineChars="300"/>
        <w:rPr>
          <w:rFonts w:hint="eastAsia" w:ascii="仿宋" w:hAnsi="仿宋" w:eastAsia="仿宋"/>
          <w:sz w:val="32"/>
          <w:szCs w:val="32"/>
        </w:rPr>
      </w:pPr>
      <w:r>
        <w:rPr>
          <w:rFonts w:hint="eastAsia" w:ascii="仿宋" w:hAnsi="仿宋" w:eastAsia="仿宋"/>
          <w:sz w:val="32"/>
          <w:szCs w:val="32"/>
        </w:rPr>
        <w:t>无</w:t>
      </w:r>
    </w:p>
    <w:p>
      <w:pPr>
        <w:spacing w:line="480" w:lineRule="exact"/>
        <w:jc w:val="both"/>
        <w:rPr>
          <w:rFonts w:hint="eastAsia" w:ascii="宋体" w:hAnsi="宋体"/>
          <w:b/>
          <w:sz w:val="44"/>
          <w:szCs w:val="44"/>
          <w:lang w:val="en-US" w:eastAsia="zh-CN"/>
        </w:rPr>
      </w:pPr>
    </w:p>
    <w:p>
      <w:pPr>
        <w:spacing w:line="480" w:lineRule="exact"/>
        <w:jc w:val="both"/>
        <w:rPr>
          <w:rFonts w:ascii="仿宋" w:hAnsi="仿宋" w:eastAsia="仿宋" w:cs="仿宋"/>
          <w:sz w:val="32"/>
          <w:szCs w:val="32"/>
        </w:rPr>
      </w:pPr>
      <w:r>
        <w:rPr>
          <w:rFonts w:hint="eastAsia" w:ascii="宋体" w:hAnsi="宋体"/>
          <w:b/>
          <w:sz w:val="44"/>
          <w:szCs w:val="44"/>
          <w:lang w:val="en-US" w:eastAsia="zh-CN"/>
        </w:rPr>
        <w:t>二、</w:t>
      </w:r>
      <w:r>
        <w:rPr>
          <w:rFonts w:hint="eastAsia" w:ascii="宋体" w:hAnsi="宋体"/>
          <w:b/>
          <w:sz w:val="44"/>
          <w:szCs w:val="44"/>
        </w:rPr>
        <w:t>部门整体支出绩效评价</w:t>
      </w:r>
      <w:r>
        <w:rPr>
          <w:rFonts w:hint="eastAsia" w:ascii="宋体" w:hAnsi="宋体" w:eastAsia="宋体" w:cs="宋体"/>
          <w:b/>
          <w:color w:val="000000"/>
          <w:kern w:val="0"/>
          <w:sz w:val="44"/>
          <w:szCs w:val="44"/>
          <w:shd w:val="clear" w:color="auto" w:fill="FFFFFF"/>
          <w:lang w:bidi="ar"/>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b/>
              </w:rPr>
            </w:pPr>
            <w:r>
              <w:rPr>
                <w:rFonts w:ascii="仿宋_GB2312" w:hAnsi="新宋体" w:eastAsia="仿宋_GB2312" w:cs="仿宋_GB2312"/>
                <w:b/>
                <w:kern w:val="0"/>
                <w:sz w:val="24"/>
                <w:szCs w:val="24"/>
                <w:lang w:bidi="ar"/>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投入（1</w:t>
            </w:r>
            <w:r>
              <w:rPr>
                <w:rFonts w:hint="eastAsia" w:ascii="仿宋_GB2312" w:hAnsi="新宋体" w:eastAsia="仿宋_GB2312" w:cs="仿宋_GB2312"/>
                <w:kern w:val="0"/>
                <w:szCs w:val="21"/>
                <w:lang w:bidi="ar"/>
              </w:rPr>
              <w:t>0</w:t>
            </w:r>
            <w:r>
              <w:rPr>
                <w:rFonts w:ascii="仿宋_GB2312" w:hAnsi="新宋体" w:eastAsia="仿宋_GB2312" w:cs="仿宋_GB2312"/>
                <w:kern w:val="0"/>
                <w:szCs w:val="21"/>
                <w:lang w:bidi="ar"/>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hint="eastAsia" w:ascii="仿宋_GB2312" w:hAnsi="新宋体" w:eastAsia="仿宋_GB2312" w:cs="仿宋_GB2312"/>
                <w:kern w:val="0"/>
                <w:szCs w:val="21"/>
                <w:lang w:bidi="ar"/>
              </w:rPr>
              <w:t>绩效</w:t>
            </w:r>
            <w:r>
              <w:rPr>
                <w:rFonts w:ascii="仿宋_GB2312" w:hAnsi="新宋体" w:eastAsia="仿宋_GB2312" w:cs="仿宋_GB2312"/>
                <w:kern w:val="0"/>
                <w:szCs w:val="21"/>
                <w:lang w:bidi="ar"/>
              </w:rPr>
              <w:t>目标设定</w:t>
            </w:r>
            <w:r>
              <w:rPr>
                <w:rFonts w:hint="eastAsia" w:ascii="仿宋_GB2312" w:hAnsi="新宋体" w:eastAsia="仿宋_GB2312" w:cs="仿宋_GB2312"/>
                <w:kern w:val="0"/>
                <w:szCs w:val="21"/>
                <w:lang w:bidi="ar"/>
              </w:rPr>
              <w:t>情况</w:t>
            </w:r>
          </w:p>
          <w:p>
            <w:pPr>
              <w:widowControl/>
              <w:spacing w:line="240" w:lineRule="exact"/>
              <w:jc w:val="left"/>
              <w:rPr>
                <w:color w:val="FF0000"/>
                <w:szCs w:val="21"/>
              </w:rPr>
            </w:pPr>
            <w:r>
              <w:rPr>
                <w:rFonts w:ascii="仿宋_GB2312" w:hAnsi="新宋体" w:eastAsia="仿宋_GB2312" w:cs="仿宋_GB2312"/>
                <w:kern w:val="0"/>
                <w:szCs w:val="21"/>
                <w:lang w:bidi="ar"/>
              </w:rPr>
              <w:t>（5</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职责明确</w:t>
            </w:r>
            <w:r>
              <w:rPr>
                <w:rFonts w:hint="eastAsia" w:ascii="仿宋_GB2312" w:hAnsi="新宋体" w:eastAsia="仿宋_GB2312" w:cs="仿宋_GB2312"/>
                <w:kern w:val="0"/>
                <w:szCs w:val="21"/>
                <w:lang w:bidi="ar"/>
              </w:rPr>
              <w:t xml:space="preserve"> </w:t>
            </w:r>
            <w:r>
              <w:rPr>
                <w:rFonts w:ascii="仿宋_GB2312" w:hAnsi="新宋体" w:eastAsia="仿宋_GB2312" w:cs="仿宋_GB2312"/>
                <w:kern w:val="0"/>
                <w:szCs w:val="21"/>
                <w:lang w:bidi="ar"/>
              </w:rPr>
              <w:t>（1</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符合（1）；</w:t>
            </w:r>
          </w:p>
          <w:p>
            <w:pPr>
              <w:widowControl/>
              <w:spacing w:line="240" w:lineRule="exact"/>
              <w:jc w:val="left"/>
              <w:rPr>
                <w:szCs w:val="21"/>
              </w:rPr>
            </w:pPr>
            <w:r>
              <w:rPr>
                <w:rFonts w:ascii="仿宋_GB2312" w:hAnsi="新宋体" w:eastAsia="仿宋_GB2312" w:cs="仿宋_GB2312"/>
                <w:kern w:val="0"/>
                <w:szCs w:val="21"/>
                <w:lang w:bidi="ar"/>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活动合规性（2</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部门的活动是否在职责范围之内并符合部门中长期规划，用以反映和评价部门活动目标与部门履职、年度工作任务的相符性情况。</w:t>
            </w:r>
          </w:p>
          <w:p>
            <w:pPr>
              <w:widowControl/>
              <w:spacing w:line="240" w:lineRule="exact"/>
              <w:jc w:val="left"/>
              <w:rPr>
                <w:szCs w:val="21"/>
              </w:rPr>
            </w:pPr>
            <w:r>
              <w:rPr>
                <w:rFonts w:ascii="仿宋_GB2312" w:hAnsi="新宋体" w:eastAsia="仿宋_GB2312" w:cs="仿宋_GB2312"/>
                <w:kern w:val="0"/>
                <w:szCs w:val="21"/>
                <w:lang w:bidi="ar"/>
              </w:rPr>
              <w:t>评价要点：</w:t>
            </w:r>
          </w:p>
          <w:p>
            <w:pPr>
              <w:widowControl/>
              <w:spacing w:line="240" w:lineRule="exact"/>
              <w:jc w:val="left"/>
              <w:rPr>
                <w:szCs w:val="21"/>
              </w:rPr>
            </w:pPr>
            <w:r>
              <w:rPr>
                <w:rFonts w:ascii="仿宋_GB2312" w:hAnsi="新宋体" w:eastAsia="仿宋_GB2312" w:cs="仿宋_GB2312"/>
                <w:kern w:val="0"/>
                <w:szCs w:val="21"/>
                <w:lang w:bidi="ar"/>
              </w:rPr>
              <w:t>1.部门活动的设定在部门所确定的职责范围之内；</w:t>
            </w:r>
          </w:p>
          <w:p>
            <w:pPr>
              <w:widowControl/>
              <w:spacing w:line="240" w:lineRule="exact"/>
              <w:jc w:val="left"/>
              <w:rPr>
                <w:szCs w:val="21"/>
              </w:rPr>
            </w:pPr>
            <w:r>
              <w:rPr>
                <w:rFonts w:ascii="仿宋_GB2312" w:hAnsi="新宋体" w:eastAsia="仿宋_GB2312" w:cs="仿宋_GB2312"/>
                <w:kern w:val="0"/>
                <w:szCs w:val="21"/>
                <w:lang w:bidi="ar"/>
              </w:rPr>
              <w:t>2.部门活动符合</w:t>
            </w:r>
            <w:r>
              <w:rPr>
                <w:rFonts w:hint="eastAsia" w:ascii="仿宋_GB2312" w:hAnsi="新宋体" w:eastAsia="仿宋_GB2312" w:cs="仿宋_GB2312"/>
                <w:kern w:val="0"/>
                <w:szCs w:val="21"/>
                <w:lang w:bidi="ar"/>
              </w:rPr>
              <w:t>市</w:t>
            </w:r>
            <w:r>
              <w:rPr>
                <w:rFonts w:ascii="仿宋_GB2312" w:hAnsi="新宋体" w:eastAsia="仿宋_GB2312" w:cs="仿宋_GB2312"/>
                <w:kern w:val="0"/>
                <w:szCs w:val="21"/>
                <w:lang w:bidi="ar"/>
              </w:rPr>
              <w:t>委、</w:t>
            </w:r>
            <w:r>
              <w:rPr>
                <w:rFonts w:hint="eastAsia" w:ascii="仿宋_GB2312" w:hAnsi="新宋体" w:eastAsia="仿宋_GB2312" w:cs="仿宋_GB2312"/>
                <w:kern w:val="0"/>
                <w:szCs w:val="21"/>
                <w:lang w:bidi="ar"/>
              </w:rPr>
              <w:t>市</w:t>
            </w:r>
            <w:r>
              <w:rPr>
                <w:rFonts w:ascii="仿宋_GB2312" w:hAnsi="新宋体" w:eastAsia="仿宋_GB2312" w:cs="仿宋_GB2312"/>
                <w:kern w:val="0"/>
                <w:szCs w:val="21"/>
                <w:lang w:bidi="ar"/>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全部符合（2）；</w:t>
            </w:r>
          </w:p>
          <w:p>
            <w:pPr>
              <w:widowControl/>
              <w:spacing w:line="240" w:lineRule="exact"/>
              <w:jc w:val="left"/>
              <w:rPr>
                <w:szCs w:val="21"/>
              </w:rPr>
            </w:pPr>
            <w:r>
              <w:rPr>
                <w:rFonts w:ascii="仿宋_GB2312" w:hAnsi="新宋体" w:eastAsia="仿宋_GB2312" w:cs="仿宋_GB2312"/>
                <w:kern w:val="0"/>
                <w:szCs w:val="21"/>
                <w:lang w:bidi="ar"/>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7"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活动合理性（2</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部门所设立的活动是否明确合理、活动的关键性指标设置是否可衡量，用以反映和评价部门活动目标设定的合理性。</w:t>
            </w:r>
          </w:p>
          <w:p>
            <w:pPr>
              <w:widowControl/>
              <w:spacing w:line="240" w:lineRule="exact"/>
              <w:jc w:val="left"/>
              <w:rPr>
                <w:szCs w:val="21"/>
              </w:rPr>
            </w:pPr>
            <w:r>
              <w:rPr>
                <w:rFonts w:ascii="仿宋_GB2312" w:hAnsi="新宋体" w:eastAsia="仿宋_GB2312" w:cs="仿宋_GB2312"/>
                <w:kern w:val="0"/>
                <w:szCs w:val="21"/>
                <w:lang w:bidi="ar"/>
              </w:rPr>
              <w:t>评价要点：</w:t>
            </w:r>
          </w:p>
          <w:p>
            <w:pPr>
              <w:widowControl/>
              <w:spacing w:line="240" w:lineRule="exact"/>
              <w:jc w:val="left"/>
              <w:rPr>
                <w:szCs w:val="21"/>
              </w:rPr>
            </w:pPr>
            <w:r>
              <w:rPr>
                <w:rFonts w:ascii="仿宋_GB2312" w:hAnsi="新宋体" w:eastAsia="仿宋_GB2312" w:cs="仿宋_GB2312"/>
                <w:kern w:val="0"/>
                <w:szCs w:val="21"/>
                <w:lang w:bidi="ar"/>
              </w:rPr>
              <w:t>1.活动目标的设定是可量化的，可通过清晰、可衡量的关键指标值予以体现；</w:t>
            </w:r>
          </w:p>
          <w:p>
            <w:pPr>
              <w:widowControl/>
              <w:spacing w:line="240" w:lineRule="exact"/>
              <w:jc w:val="left"/>
              <w:rPr>
                <w:szCs w:val="21"/>
              </w:rPr>
            </w:pPr>
            <w:r>
              <w:rPr>
                <w:rFonts w:ascii="仿宋_GB2312" w:hAnsi="新宋体" w:eastAsia="仿宋_GB2312" w:cs="仿宋_GB2312"/>
                <w:kern w:val="0"/>
                <w:szCs w:val="21"/>
                <w:lang w:bidi="ar"/>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全部符合（2）；</w:t>
            </w:r>
          </w:p>
          <w:p>
            <w:pPr>
              <w:widowControl/>
              <w:spacing w:line="240" w:lineRule="exact"/>
              <w:jc w:val="left"/>
              <w:rPr>
                <w:szCs w:val="21"/>
              </w:rPr>
            </w:pPr>
            <w:r>
              <w:rPr>
                <w:rFonts w:ascii="仿宋_GB2312" w:hAnsi="新宋体" w:eastAsia="仿宋_GB2312" w:cs="仿宋_GB2312"/>
                <w:kern w:val="0"/>
                <w:szCs w:val="21"/>
                <w:lang w:bidi="ar"/>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预算配置</w:t>
            </w:r>
            <w:r>
              <w:rPr>
                <w:rFonts w:hint="eastAsia" w:ascii="仿宋_GB2312" w:hAnsi="新宋体" w:eastAsia="仿宋_GB2312" w:cs="仿宋_GB2312"/>
                <w:kern w:val="0"/>
                <w:szCs w:val="21"/>
                <w:lang w:bidi="ar"/>
              </w:rPr>
              <w:t>情况</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5分</w:t>
            </w:r>
            <w:r>
              <w:rPr>
                <w:rFonts w:ascii="仿宋_GB2312" w:hAnsi="新宋体" w:eastAsia="仿宋_GB2312" w:cs="仿宋_GB2312"/>
                <w:kern w:val="0"/>
                <w:szCs w:val="21"/>
                <w:lang w:bidi="ar"/>
              </w:rPr>
              <w:t>)</w:t>
            </w: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在职人员控制率（</w:t>
            </w:r>
            <w:r>
              <w:rPr>
                <w:rFonts w:hint="eastAsia" w:ascii="仿宋_GB2312" w:hAnsi="新宋体" w:eastAsia="仿宋_GB2312" w:cs="仿宋_GB2312"/>
                <w:kern w:val="0"/>
                <w:szCs w:val="21"/>
                <w:lang w:bidi="ar"/>
              </w:rPr>
              <w:t>1分</w:t>
            </w:r>
            <w:r>
              <w:rPr>
                <w:rFonts w:ascii="仿宋_GB2312" w:hAnsi="新宋体" w:eastAsia="仿宋_GB2312" w:cs="仿宋_GB2312"/>
                <w:kern w:val="0"/>
                <w:szCs w:val="21"/>
                <w:lang w:bidi="ar"/>
              </w:rPr>
              <w:t>）</w:t>
            </w:r>
          </w:p>
        </w:tc>
        <w:tc>
          <w:tcPr>
            <w:tcW w:w="3436"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部门本年度实际在职人员数与编制数的比率，用以反映和评价部门对人员成本的控制程度。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在职人员控制率=（在职人员数/编制数）×100%。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在职人员数：部门实际在职人数，以财政部确定的部门决算编制口径为准，由编制部门和人劳部门批复同意的临聘人员除外。</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1.在职人员控制率小于或等于100%的，得满分；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2.在职人员控制率大于或等于115%的，得0分；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3.在职人员控制率在100%-115%之间的，在0分和满分之间计算确定：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ascii="仿宋" w:hAnsi="仿宋" w:eastAsia="仿宋" w:cs="仿宋"/>
                <w:kern w:val="0"/>
                <w:szCs w:val="21"/>
                <w:lang w:bidi="ar"/>
              </w:rPr>
            </w:pP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变动率（2分）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仿宋"/>
                <w:kern w:val="0"/>
                <w:szCs w:val="21"/>
                <w:lang w:bidi="ar"/>
              </w:rPr>
            </w:pPr>
            <w:r>
              <w:rPr>
                <w:rFonts w:hint="eastAsia" w:ascii="仿宋" w:hAnsi="仿宋" w:eastAsia="仿宋" w:cs="仿宋"/>
                <w:color w:val="000000"/>
                <w:kern w:val="0"/>
                <w:szCs w:val="21"/>
                <w:lang w:bidi="ar"/>
              </w:rPr>
              <w:t>部门本年度</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预算数与上年度</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预算数的变动比率，用以反映和考核部门对控制重点行政成本的努力程度。</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变动率=[（本年度</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总额-上年度</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总额）/上年度</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总额]×100%。</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变动率</w:t>
            </w:r>
            <w:r>
              <w:rPr>
                <w:rFonts w:ascii="仿宋_GB2312" w:hAnsi="新宋体" w:eastAsia="仿宋_GB2312" w:cs="仿宋_GB2312"/>
                <w:kern w:val="0"/>
                <w:szCs w:val="21"/>
                <w:lang w:bidi="ar"/>
              </w:rPr>
              <w:t>小于或等于</w:t>
            </w:r>
            <w:r>
              <w:rPr>
                <w:rFonts w:hint="eastAsia" w:ascii="仿宋_GB2312" w:hAnsi="新宋体" w:eastAsia="仿宋_GB2312" w:cs="仿宋_GB2312"/>
                <w:kern w:val="0"/>
                <w:szCs w:val="21"/>
                <w:lang w:bidi="ar"/>
              </w:rPr>
              <w:t>-5</w:t>
            </w:r>
            <w:r>
              <w:rPr>
                <w:rFonts w:ascii="仿宋_GB2312" w:hAnsi="新宋体" w:eastAsia="仿宋_GB2312" w:cs="仿宋_GB2312"/>
                <w:kern w:val="0"/>
                <w:szCs w:val="21"/>
                <w:lang w:bidi="ar"/>
              </w:rPr>
              <w:t>%的，得满分；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变动率</w:t>
            </w:r>
            <w:r>
              <w:rPr>
                <w:rFonts w:ascii="仿宋_GB2312" w:hAnsi="新宋体" w:eastAsia="仿宋_GB2312" w:cs="仿宋_GB2312"/>
                <w:kern w:val="0"/>
                <w:szCs w:val="21"/>
                <w:lang w:bidi="ar"/>
              </w:rPr>
              <w:t>大于或等于1</w:t>
            </w:r>
            <w:r>
              <w:rPr>
                <w:rFonts w:hint="eastAsia" w:ascii="仿宋_GB2312" w:hAnsi="新宋体" w:eastAsia="仿宋_GB2312" w:cs="仿宋_GB2312"/>
                <w:kern w:val="0"/>
                <w:szCs w:val="21"/>
                <w:lang w:bidi="ar"/>
              </w:rPr>
              <w:t>0</w:t>
            </w:r>
            <w:r>
              <w:rPr>
                <w:rFonts w:ascii="仿宋_GB2312" w:hAnsi="新宋体" w:eastAsia="仿宋_GB2312" w:cs="仿宋_GB2312"/>
                <w:kern w:val="0"/>
                <w:szCs w:val="21"/>
                <w:lang w:bidi="ar"/>
              </w:rPr>
              <w:t>%的，得0分；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3.在职人员控制率在</w:t>
            </w:r>
            <w:r>
              <w:rPr>
                <w:rFonts w:hint="eastAsia" w:ascii="仿宋_GB2312" w:hAnsi="新宋体" w:eastAsia="仿宋_GB2312" w:cs="仿宋_GB2312"/>
                <w:kern w:val="0"/>
                <w:szCs w:val="21"/>
                <w:lang w:bidi="ar"/>
              </w:rPr>
              <w:t>-5</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10</w:t>
            </w:r>
            <w:r>
              <w:rPr>
                <w:rFonts w:ascii="仿宋_GB2312" w:hAnsi="新宋体" w:eastAsia="仿宋_GB2312" w:cs="仿宋_GB2312"/>
                <w:kern w:val="0"/>
                <w:szCs w:val="21"/>
                <w:lang w:bidi="ar"/>
              </w:rPr>
              <w:t>%之间的，在0分和满分之间计算确定：</w:t>
            </w:r>
          </w:p>
          <w:p>
            <w:pPr>
              <w:widowControl/>
              <w:spacing w:line="240" w:lineRule="exact"/>
              <w:jc w:val="left"/>
              <w:textAlignment w:val="center"/>
              <w:rPr>
                <w:rFonts w:ascii="仿宋" w:hAnsi="仿宋" w:eastAsia="仿宋" w:cs="仿宋"/>
                <w:kern w:val="0"/>
                <w:szCs w:val="21"/>
                <w:lang w:bidi="ar"/>
              </w:rPr>
            </w:pPr>
            <w:r>
              <w:rPr>
                <w:rFonts w:ascii="仿宋_GB2312" w:hAnsi="新宋体" w:eastAsia="仿宋_GB2312" w:cs="仿宋_GB2312"/>
                <w:kern w:val="0"/>
                <w:szCs w:val="21"/>
                <w:lang w:bidi="ar"/>
              </w:rPr>
              <w:t>得分=[max（</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变动率</w:t>
            </w:r>
            <w:r>
              <w:rPr>
                <w:rFonts w:ascii="仿宋_GB2312" w:hAnsi="新宋体" w:eastAsia="仿宋_GB2312" w:cs="仿宋_GB2312"/>
                <w:kern w:val="0"/>
                <w:szCs w:val="21"/>
                <w:lang w:bidi="ar"/>
              </w:rPr>
              <w:t>）－</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变动率</w:t>
            </w:r>
            <w:r>
              <w:rPr>
                <w:rFonts w:ascii="仿宋_GB2312" w:hAnsi="新宋体" w:eastAsia="仿宋_GB2312" w:cs="仿宋_GB2312"/>
                <w:kern w:val="0"/>
                <w:szCs w:val="21"/>
                <w:lang w:bidi="ar"/>
              </w:rPr>
              <w:t>]/[max（</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变动率</w:t>
            </w:r>
            <w:r>
              <w:rPr>
                <w:rFonts w:ascii="仿宋_GB2312" w:hAnsi="新宋体" w:eastAsia="仿宋_GB2312" w:cs="仿宋_GB2312"/>
                <w:kern w:val="0"/>
                <w:szCs w:val="21"/>
                <w:lang w:bidi="ar"/>
              </w:rPr>
              <w:t>）－min（</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变动率</w:t>
            </w:r>
            <w:r>
              <w:rPr>
                <w:rFonts w:ascii="仿宋_GB2312" w:hAnsi="新宋体" w:eastAsia="仿宋_GB2312" w:cs="仿宋_GB2312"/>
                <w:kern w:val="0"/>
                <w:szCs w:val="21"/>
                <w:lang w:bidi="ar"/>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ascii="仿宋" w:hAnsi="仿宋" w:eastAsia="仿宋" w:cs="仿宋"/>
                <w:kern w:val="0"/>
                <w:szCs w:val="21"/>
                <w:lang w:bidi="ar"/>
              </w:rPr>
            </w:pPr>
            <w:r>
              <w:rPr>
                <w:rFonts w:hint="eastAsia" w:ascii="仿宋" w:hAnsi="仿宋" w:eastAsia="仿宋" w:cs="仿宋"/>
                <w:color w:val="000000"/>
                <w:kern w:val="0"/>
                <w:szCs w:val="21"/>
                <w:lang w:bidi="ar"/>
              </w:rPr>
              <w:t>重点支出安排率（2分）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仿宋"/>
                <w:kern w:val="0"/>
                <w:szCs w:val="21"/>
                <w:lang w:bidi="ar"/>
              </w:rPr>
            </w:pPr>
            <w:r>
              <w:rPr>
                <w:rFonts w:hint="eastAsia" w:ascii="仿宋" w:hAnsi="仿宋" w:eastAsia="仿宋" w:cs="仿宋"/>
                <w:color w:val="000000"/>
                <w:kern w:val="0"/>
                <w:szCs w:val="21"/>
                <w:lang w:bidi="ar"/>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在85%-95%之间的，在0分和满分之间计算确定：</w:t>
            </w:r>
          </w:p>
          <w:p>
            <w:pPr>
              <w:widowControl/>
              <w:spacing w:line="240" w:lineRule="exact"/>
              <w:jc w:val="left"/>
              <w:textAlignment w:val="center"/>
              <w:rPr>
                <w:rFonts w:ascii="仿宋" w:hAnsi="仿宋" w:eastAsia="仿宋" w:cs="仿宋"/>
                <w:kern w:val="0"/>
                <w:szCs w:val="21"/>
                <w:lang w:bidi="ar"/>
              </w:rPr>
            </w:pPr>
            <w:r>
              <w:rPr>
                <w:rFonts w:ascii="仿宋_GB2312" w:hAnsi="新宋体" w:eastAsia="仿宋_GB2312" w:cs="仿宋_GB2312"/>
                <w:kern w:val="0"/>
                <w:szCs w:val="21"/>
                <w:lang w:bidi="ar"/>
              </w:rPr>
              <w:t>得分=[某部门</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-min（</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）]/[max（</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）－min（</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过程(</w:t>
            </w:r>
            <w:r>
              <w:rPr>
                <w:rFonts w:hint="eastAsia" w:ascii="仿宋_GB2312" w:hAnsi="新宋体" w:eastAsia="仿宋_GB2312" w:cs="仿宋_GB2312"/>
                <w:kern w:val="0"/>
                <w:szCs w:val="21"/>
                <w:lang w:bidi="ar"/>
              </w:rPr>
              <w:t>45分</w:t>
            </w:r>
            <w:r>
              <w:rPr>
                <w:rFonts w:ascii="仿宋_GB2312" w:hAnsi="新宋体" w:eastAsia="仿宋_GB2312" w:cs="仿宋_GB2312"/>
                <w:kern w:val="0"/>
                <w:szCs w:val="21"/>
                <w:lang w:bidi="ar"/>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预算执行</w:t>
            </w:r>
            <w:r>
              <w:rPr>
                <w:rFonts w:hint="eastAsia" w:ascii="仿宋_GB2312" w:hAnsi="新宋体" w:eastAsia="仿宋_GB2312" w:cs="仿宋_GB2312"/>
                <w:kern w:val="0"/>
                <w:szCs w:val="21"/>
                <w:lang w:bidi="ar"/>
              </w:rPr>
              <w:t>情况</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25分</w:t>
            </w:r>
            <w:r>
              <w:rPr>
                <w:rFonts w:ascii="仿宋_GB2312" w:hAnsi="新宋体" w:eastAsia="仿宋_GB2312" w:cs="仿宋_GB2312"/>
                <w:kern w:val="0"/>
                <w:szCs w:val="21"/>
                <w:lang w:bidi="ar"/>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预算完成率（5</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通过对部门本年度预算完成数与预算数的比较，反映和评价部门预算的完成程度。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1.预算完成率大于或等于95%的，得满分；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2.预算完成率小于或等于85%的，得0分；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3.预算完成率在85%-95%之间的，在0分和满分之间计算确定：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预算调整率（</w:t>
            </w:r>
            <w:r>
              <w:rPr>
                <w:rFonts w:hint="eastAsia" w:ascii="仿宋_GB2312" w:hAnsi="新宋体" w:eastAsia="仿宋_GB2312" w:cs="仿宋_GB2312"/>
                <w:kern w:val="0"/>
                <w:szCs w:val="21"/>
                <w:lang w:bidi="ar"/>
              </w:rPr>
              <w:t>3分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部门本年度预算调整数与预算数的比率，用以反映和评价部门预算的调整程度。</w:t>
            </w:r>
          </w:p>
          <w:p>
            <w:pPr>
              <w:widowControl/>
              <w:spacing w:line="240" w:lineRule="exact"/>
              <w:jc w:val="left"/>
              <w:rPr>
                <w:szCs w:val="21"/>
              </w:rPr>
            </w:pPr>
            <w:r>
              <w:rPr>
                <w:rFonts w:ascii="仿宋_GB2312" w:hAnsi="新宋体" w:eastAsia="仿宋_GB2312" w:cs="仿宋_GB2312"/>
                <w:kern w:val="0"/>
                <w:szCs w:val="21"/>
                <w:lang w:bidi="ar"/>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 xml:space="preserve">1.预算调整率等于0的，得满分； </w:t>
            </w:r>
          </w:p>
          <w:p>
            <w:pPr>
              <w:widowControl/>
              <w:spacing w:line="240" w:lineRule="exact"/>
              <w:jc w:val="left"/>
              <w:rPr>
                <w:szCs w:val="21"/>
              </w:rPr>
            </w:pPr>
            <w:r>
              <w:rPr>
                <w:rFonts w:ascii="仿宋_GB2312" w:hAnsi="新宋体" w:eastAsia="仿宋_GB2312" w:cs="仿宋_GB2312"/>
                <w:kern w:val="0"/>
                <w:szCs w:val="21"/>
                <w:lang w:bidi="ar"/>
              </w:rPr>
              <w:t>2.预算调整率大于或等于10%的，得0分；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3.预算调整率在0-10%之间的，在0分和满分之间确定：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szCs w:val="21"/>
                <w:lang w:val="en-US" w:eastAsia="zh-CN"/>
              </w:rPr>
            </w:pPr>
            <w:r>
              <w:rPr>
                <w:rFonts w:hint="eastAsia"/>
                <w:szCs w:val="21"/>
                <w:lang w:val="en-US" w:eastAsia="zh-CN"/>
              </w:rPr>
              <w:t>0</w:t>
            </w:r>
          </w:p>
          <w:p>
            <w:pPr>
              <w:widowControl/>
              <w:spacing w:line="240" w:lineRule="exact"/>
              <w:jc w:val="left"/>
              <w:rPr>
                <w:rFonts w:hint="eastAsia"/>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color w:val="000000"/>
                <w:kern w:val="0"/>
                <w:szCs w:val="21"/>
                <w:lang w:bidi="ar"/>
              </w:rPr>
              <w:t>支付进度率</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5分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度支付数与</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度任务数的比率，用以反映和评价部门预算执行的及时和均衡程度。</w:t>
            </w:r>
          </w:p>
          <w:p>
            <w:pPr>
              <w:widowControl/>
              <w:spacing w:line="240" w:lineRule="exact"/>
              <w:jc w:val="left"/>
              <w:rPr>
                <w:szCs w:val="21"/>
              </w:rPr>
            </w:pPr>
            <w:r>
              <w:rPr>
                <w:rFonts w:ascii="仿宋_GB2312" w:hAnsi="新宋体" w:eastAsia="仿宋_GB2312" w:cs="仿宋_GB2312"/>
                <w:kern w:val="0"/>
                <w:szCs w:val="21"/>
                <w:lang w:bidi="ar"/>
              </w:rPr>
              <w:t>支付进度率=（</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度支付数/</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按</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度的执行情况进行打分</w:t>
            </w:r>
            <w:r>
              <w:rPr>
                <w:rFonts w:hint="eastAsia" w:ascii="仿宋_GB2312" w:hAnsi="新宋体" w:eastAsia="仿宋_GB2312" w:cs="仿宋_GB2312"/>
                <w:kern w:val="0"/>
                <w:szCs w:val="21"/>
                <w:lang w:bidi="ar"/>
              </w:rPr>
              <w:t>。</w:t>
            </w:r>
            <w:r>
              <w:rPr>
                <w:rFonts w:ascii="仿宋_GB2312" w:hAnsi="新宋体" w:eastAsia="仿宋_GB2312" w:cs="仿宋_GB2312"/>
                <w:kern w:val="0"/>
                <w:szCs w:val="21"/>
                <w:lang w:bidi="ar"/>
              </w:rPr>
              <w:t>得分=</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度支付数/</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度任务数×该指标分值。</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结转结余率（4</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通过对部门本年度结转结余总额与支出预算数的比较，反映和评价部门对本年度结转结余资金的实际控制程度。</w:t>
            </w:r>
          </w:p>
          <w:p>
            <w:pPr>
              <w:widowControl/>
              <w:spacing w:line="240" w:lineRule="exact"/>
              <w:jc w:val="left"/>
              <w:rPr>
                <w:szCs w:val="21"/>
              </w:rPr>
            </w:pPr>
            <w:r>
              <w:rPr>
                <w:rFonts w:ascii="仿宋_GB2312" w:hAnsi="新宋体" w:eastAsia="仿宋_GB2312" w:cs="仿宋_GB2312"/>
                <w:kern w:val="0"/>
                <w:szCs w:val="21"/>
                <w:lang w:bidi="ar"/>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1.结转结余率等于0的，得满分；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2.结转结余率大于或等于50%的，得0分；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3.结转结余率在0-50%之间的，在0和满分之间计算确定：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公用经费控制率（</w:t>
            </w:r>
            <w:r>
              <w:rPr>
                <w:rFonts w:hint="eastAsia" w:ascii="仿宋_GB2312" w:hAnsi="新宋体" w:eastAsia="仿宋_GB2312" w:cs="仿宋_GB2312"/>
                <w:kern w:val="0"/>
                <w:szCs w:val="21"/>
                <w:lang w:bidi="ar"/>
              </w:rPr>
              <w:t>4分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通过对部门本年度实际支出的公用经费总额与预算安排的公用经费总额的比率，反映和评价部门对机构运转成本的实际控制程度。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1.公用经费控制率小于或等于100%的，得满分；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2.公用经费控制率大于或等于105%的，得0分；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3.公用经费控制率在100%-105%之间的，在0和满分之间计算确定：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政府采购执行率（</w:t>
            </w:r>
            <w:r>
              <w:rPr>
                <w:rFonts w:hint="eastAsia" w:ascii="仿宋_GB2312" w:hAnsi="新宋体" w:eastAsia="仿宋_GB2312" w:cs="仿宋_GB2312"/>
                <w:kern w:val="0"/>
                <w:szCs w:val="21"/>
                <w:lang w:bidi="ar"/>
              </w:rPr>
              <w:t>4分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通过对部门本年度实际政府采购预算项目个数与政府采购预算项目个数的比较，反映和评价部门政府采购预算执行情况。</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政府采购执行率=（实际政府采购预算项目个数/政府采购预算项目个数）×100%。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1.政府采购执行率等于100%的，得满分；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2.政府采购执行率小于或等于90%的，0分；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3.政府采购执行率在90%-100%之间的，在0和满分之间计算确定：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预算管理</w:t>
            </w:r>
            <w:r>
              <w:rPr>
                <w:rFonts w:hint="eastAsia" w:ascii="仿宋_GB2312" w:hAnsi="新宋体" w:eastAsia="仿宋_GB2312" w:cs="仿宋_GB2312"/>
                <w:kern w:val="0"/>
                <w:szCs w:val="21"/>
                <w:lang w:bidi="ar"/>
              </w:rPr>
              <w:t>情况</w:t>
            </w:r>
          </w:p>
          <w:p>
            <w:pPr>
              <w:widowControl/>
              <w:spacing w:line="240" w:lineRule="exact"/>
              <w:jc w:val="left"/>
              <w:rPr>
                <w:szCs w:val="21"/>
              </w:rPr>
            </w:pPr>
            <w:r>
              <w:rPr>
                <w:rFonts w:ascii="仿宋_GB2312" w:hAnsi="新宋体" w:eastAsia="仿宋_GB2312" w:cs="仿宋_GB2312"/>
                <w:kern w:val="0"/>
                <w:szCs w:val="21"/>
                <w:lang w:bidi="ar"/>
              </w:rPr>
              <w:t>（15）</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资金使用合规性（8</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部门使用预算资金是否符合相关的预算财务管理制度的规定，反映和评价部门预算资金的规范运行情况。</w:t>
            </w:r>
          </w:p>
          <w:p>
            <w:pPr>
              <w:widowControl/>
              <w:spacing w:line="240" w:lineRule="exact"/>
              <w:jc w:val="left"/>
              <w:rPr>
                <w:szCs w:val="21"/>
              </w:rPr>
            </w:pPr>
            <w:r>
              <w:rPr>
                <w:rFonts w:ascii="仿宋_GB2312" w:hAnsi="新宋体" w:eastAsia="仿宋_GB2312" w:cs="仿宋_GB2312"/>
                <w:kern w:val="0"/>
                <w:szCs w:val="21"/>
                <w:lang w:bidi="ar"/>
              </w:rPr>
              <w:t>评价要点：</w:t>
            </w:r>
          </w:p>
          <w:p>
            <w:pPr>
              <w:widowControl/>
              <w:spacing w:line="240" w:lineRule="exact"/>
              <w:jc w:val="left"/>
              <w:rPr>
                <w:szCs w:val="21"/>
              </w:rPr>
            </w:pPr>
            <w:r>
              <w:rPr>
                <w:rFonts w:ascii="仿宋_GB2312" w:hAnsi="新宋体" w:eastAsia="仿宋_GB2312" w:cs="仿宋_GB2312"/>
                <w:kern w:val="0"/>
                <w:szCs w:val="21"/>
                <w:lang w:bidi="ar"/>
              </w:rPr>
              <w:t>1.符合国家财经法规和财务管理制度规定以及有关部门资金管理办法的规定；</w:t>
            </w:r>
          </w:p>
          <w:p>
            <w:pPr>
              <w:widowControl/>
              <w:spacing w:line="240" w:lineRule="exact"/>
              <w:jc w:val="left"/>
              <w:rPr>
                <w:szCs w:val="21"/>
              </w:rPr>
            </w:pPr>
            <w:r>
              <w:rPr>
                <w:rFonts w:ascii="仿宋_GB2312" w:hAnsi="新宋体" w:eastAsia="仿宋_GB2312" w:cs="仿宋_GB2312"/>
                <w:kern w:val="0"/>
                <w:szCs w:val="21"/>
                <w:lang w:bidi="ar"/>
              </w:rPr>
              <w:t>2.资金的拨付有完整的审批过程和手续；</w:t>
            </w:r>
          </w:p>
          <w:p>
            <w:pPr>
              <w:widowControl/>
              <w:spacing w:line="240" w:lineRule="exact"/>
              <w:jc w:val="left"/>
              <w:rPr>
                <w:szCs w:val="21"/>
              </w:rPr>
            </w:pPr>
            <w:r>
              <w:rPr>
                <w:rFonts w:ascii="仿宋_GB2312" w:hAnsi="新宋体" w:eastAsia="仿宋_GB2312" w:cs="仿宋_GB2312"/>
                <w:kern w:val="0"/>
                <w:szCs w:val="21"/>
                <w:lang w:bidi="ar"/>
              </w:rPr>
              <w:t>3.项目的重大开支经过评估论证；</w:t>
            </w:r>
          </w:p>
          <w:p>
            <w:pPr>
              <w:widowControl/>
              <w:spacing w:line="240" w:lineRule="exact"/>
              <w:jc w:val="left"/>
              <w:rPr>
                <w:szCs w:val="21"/>
              </w:rPr>
            </w:pPr>
            <w:r>
              <w:rPr>
                <w:rFonts w:ascii="仿宋_GB2312" w:hAnsi="新宋体" w:eastAsia="仿宋_GB2312" w:cs="仿宋_GB2312"/>
                <w:kern w:val="0"/>
                <w:szCs w:val="21"/>
                <w:lang w:bidi="ar"/>
              </w:rPr>
              <w:t>4.符合部门预算批复的用途；</w:t>
            </w:r>
          </w:p>
          <w:p>
            <w:pPr>
              <w:widowControl/>
              <w:spacing w:line="240" w:lineRule="exact"/>
              <w:jc w:val="left"/>
              <w:rPr>
                <w:szCs w:val="21"/>
              </w:rPr>
            </w:pPr>
            <w:r>
              <w:rPr>
                <w:rFonts w:ascii="仿宋_GB2312" w:hAnsi="新宋体" w:eastAsia="仿宋_GB2312" w:cs="仿宋_GB2312"/>
                <w:kern w:val="0"/>
                <w:szCs w:val="21"/>
                <w:lang w:bidi="ar"/>
              </w:rPr>
              <w:t>5.不存在截留情况；</w:t>
            </w:r>
          </w:p>
          <w:p>
            <w:pPr>
              <w:widowControl/>
              <w:spacing w:line="240" w:lineRule="exact"/>
              <w:jc w:val="left"/>
              <w:rPr>
                <w:szCs w:val="21"/>
              </w:rPr>
            </w:pPr>
            <w:r>
              <w:rPr>
                <w:rFonts w:ascii="仿宋_GB2312" w:hAnsi="新宋体" w:eastAsia="仿宋_GB2312" w:cs="仿宋_GB2312"/>
                <w:kern w:val="0"/>
                <w:szCs w:val="21"/>
                <w:lang w:bidi="ar"/>
              </w:rPr>
              <w:t>6.不存在挤占情况；</w:t>
            </w:r>
          </w:p>
          <w:p>
            <w:pPr>
              <w:widowControl/>
              <w:spacing w:line="240" w:lineRule="exact"/>
              <w:jc w:val="left"/>
              <w:rPr>
                <w:szCs w:val="21"/>
              </w:rPr>
            </w:pPr>
            <w:r>
              <w:rPr>
                <w:rFonts w:ascii="仿宋_GB2312" w:hAnsi="新宋体" w:eastAsia="仿宋_GB2312" w:cs="仿宋_GB2312"/>
                <w:kern w:val="0"/>
                <w:szCs w:val="21"/>
                <w:lang w:bidi="ar"/>
              </w:rPr>
              <w:t>7.不存在挪用情况；</w:t>
            </w:r>
          </w:p>
          <w:p>
            <w:pPr>
              <w:widowControl/>
              <w:spacing w:line="240" w:lineRule="exact"/>
              <w:jc w:val="left"/>
              <w:rPr>
                <w:szCs w:val="21"/>
              </w:rPr>
            </w:pPr>
            <w:r>
              <w:rPr>
                <w:rFonts w:ascii="仿宋_GB2312" w:hAnsi="新宋体" w:eastAsia="仿宋_GB2312" w:cs="仿宋_GB2312"/>
                <w:kern w:val="0"/>
                <w:szCs w:val="21"/>
                <w:lang w:bidi="ar"/>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全部符合（8）；</w:t>
            </w:r>
          </w:p>
          <w:p>
            <w:pPr>
              <w:widowControl/>
              <w:spacing w:line="240" w:lineRule="exact"/>
              <w:jc w:val="left"/>
              <w:rPr>
                <w:szCs w:val="21"/>
              </w:rPr>
            </w:pPr>
            <w:r>
              <w:rPr>
                <w:rFonts w:ascii="仿宋_GB2312" w:hAnsi="新宋体" w:eastAsia="仿宋_GB2312" w:cs="仿宋_GB2312"/>
                <w:kern w:val="0"/>
                <w:szCs w:val="21"/>
                <w:lang w:bidi="ar"/>
              </w:rPr>
              <w:t>符合其中七项（6）；</w:t>
            </w:r>
          </w:p>
          <w:p>
            <w:pPr>
              <w:widowControl/>
              <w:spacing w:line="240" w:lineRule="exact"/>
              <w:jc w:val="left"/>
              <w:rPr>
                <w:szCs w:val="21"/>
              </w:rPr>
            </w:pPr>
            <w:r>
              <w:rPr>
                <w:rFonts w:ascii="仿宋_GB2312" w:hAnsi="新宋体" w:eastAsia="仿宋_GB2312" w:cs="仿宋_GB2312"/>
                <w:kern w:val="0"/>
                <w:szCs w:val="21"/>
                <w:lang w:bidi="ar"/>
              </w:rPr>
              <w:t>符合其中六项（4）；</w:t>
            </w:r>
          </w:p>
          <w:p>
            <w:pPr>
              <w:widowControl/>
              <w:spacing w:line="240" w:lineRule="exact"/>
              <w:jc w:val="left"/>
              <w:rPr>
                <w:szCs w:val="21"/>
              </w:rPr>
            </w:pPr>
            <w:r>
              <w:rPr>
                <w:rFonts w:ascii="仿宋_GB2312" w:hAnsi="新宋体" w:eastAsia="仿宋_GB2312" w:cs="仿宋_GB2312"/>
                <w:kern w:val="0"/>
                <w:szCs w:val="21"/>
                <w:lang w:bidi="ar"/>
              </w:rPr>
              <w:t>符合其中五项（2）；</w:t>
            </w:r>
          </w:p>
          <w:p>
            <w:pPr>
              <w:widowControl/>
              <w:spacing w:line="240" w:lineRule="exact"/>
              <w:jc w:val="left"/>
              <w:rPr>
                <w:szCs w:val="21"/>
              </w:rPr>
            </w:pPr>
            <w:r>
              <w:rPr>
                <w:rFonts w:ascii="仿宋_GB2312" w:hAnsi="新宋体" w:eastAsia="仿宋_GB2312" w:cs="仿宋_GB2312"/>
                <w:kern w:val="0"/>
                <w:szCs w:val="21"/>
                <w:lang w:bidi="ar"/>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预决算信息公开性（3</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部门是否按照政府信息公开有关规定公开相关预决算信息，用以反映和评价部门预决算管理的公开透明情况。</w:t>
            </w:r>
          </w:p>
          <w:p>
            <w:pPr>
              <w:widowControl/>
              <w:spacing w:line="240" w:lineRule="exact"/>
              <w:jc w:val="left"/>
              <w:rPr>
                <w:szCs w:val="21"/>
              </w:rPr>
            </w:pPr>
            <w:r>
              <w:rPr>
                <w:rFonts w:ascii="仿宋_GB2312" w:hAnsi="新宋体" w:eastAsia="仿宋_GB2312" w:cs="仿宋_GB2312"/>
                <w:kern w:val="0"/>
                <w:szCs w:val="21"/>
                <w:lang w:bidi="ar"/>
              </w:rPr>
              <w:t>预决算信息是指与部门预算、执行、决算、监督、绩效等管理相关的信息。</w:t>
            </w:r>
          </w:p>
          <w:p>
            <w:pPr>
              <w:widowControl/>
              <w:spacing w:line="240" w:lineRule="exact"/>
              <w:jc w:val="left"/>
              <w:rPr>
                <w:szCs w:val="21"/>
              </w:rPr>
            </w:pPr>
            <w:r>
              <w:rPr>
                <w:rFonts w:ascii="仿宋_GB2312" w:hAnsi="新宋体" w:eastAsia="仿宋_GB2312" w:cs="仿宋_GB2312"/>
                <w:kern w:val="0"/>
                <w:szCs w:val="21"/>
                <w:lang w:bidi="ar"/>
              </w:rPr>
              <w:t>评价要点：</w:t>
            </w:r>
          </w:p>
          <w:p>
            <w:pPr>
              <w:widowControl/>
              <w:spacing w:line="240" w:lineRule="exact"/>
              <w:jc w:val="left"/>
              <w:rPr>
                <w:szCs w:val="21"/>
              </w:rPr>
            </w:pPr>
            <w:r>
              <w:rPr>
                <w:rFonts w:ascii="仿宋_GB2312" w:hAnsi="新宋体" w:eastAsia="仿宋_GB2312" w:cs="仿宋_GB2312"/>
                <w:kern w:val="0"/>
                <w:szCs w:val="21"/>
                <w:lang w:bidi="ar"/>
              </w:rPr>
              <w:t>1.公开预决算信息；</w:t>
            </w:r>
          </w:p>
          <w:p>
            <w:pPr>
              <w:widowControl/>
              <w:spacing w:line="240" w:lineRule="exact"/>
              <w:jc w:val="left"/>
              <w:rPr>
                <w:szCs w:val="21"/>
              </w:rPr>
            </w:pPr>
            <w:r>
              <w:rPr>
                <w:rFonts w:ascii="仿宋_GB2312" w:hAnsi="新宋体" w:eastAsia="仿宋_GB2312" w:cs="仿宋_GB2312"/>
                <w:kern w:val="0"/>
                <w:szCs w:val="21"/>
                <w:lang w:bidi="ar"/>
              </w:rPr>
              <w:t>2.按规定内容公开预决算信息；</w:t>
            </w:r>
          </w:p>
          <w:p>
            <w:pPr>
              <w:widowControl/>
              <w:spacing w:line="240" w:lineRule="exact"/>
              <w:jc w:val="left"/>
              <w:rPr>
                <w:szCs w:val="21"/>
              </w:rPr>
            </w:pPr>
            <w:r>
              <w:rPr>
                <w:rFonts w:ascii="仿宋_GB2312" w:hAnsi="新宋体" w:eastAsia="仿宋_GB2312" w:cs="仿宋_GB2312"/>
                <w:kern w:val="0"/>
                <w:szCs w:val="21"/>
                <w:lang w:bidi="ar"/>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全部符合（3）；</w:t>
            </w:r>
          </w:p>
          <w:p>
            <w:pPr>
              <w:widowControl/>
              <w:spacing w:line="240" w:lineRule="exact"/>
              <w:jc w:val="left"/>
              <w:rPr>
                <w:szCs w:val="21"/>
              </w:rPr>
            </w:pPr>
            <w:r>
              <w:rPr>
                <w:rFonts w:ascii="仿宋_GB2312" w:hAnsi="新宋体" w:eastAsia="仿宋_GB2312" w:cs="仿宋_GB2312"/>
                <w:kern w:val="0"/>
                <w:szCs w:val="21"/>
                <w:lang w:bidi="ar"/>
              </w:rPr>
              <w:t>符合其中两项（2）</w:t>
            </w:r>
          </w:p>
          <w:p>
            <w:pPr>
              <w:widowControl/>
              <w:spacing w:line="240" w:lineRule="exact"/>
              <w:jc w:val="left"/>
              <w:rPr>
                <w:szCs w:val="21"/>
              </w:rPr>
            </w:pPr>
            <w:r>
              <w:rPr>
                <w:rFonts w:ascii="仿宋_GB2312" w:hAnsi="新宋体" w:eastAsia="仿宋_GB2312" w:cs="仿宋_GB2312"/>
                <w:kern w:val="0"/>
                <w:szCs w:val="21"/>
                <w:lang w:bidi="ar"/>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color w:val="000000"/>
                <w:kern w:val="0"/>
                <w:szCs w:val="21"/>
                <w:lang w:bidi="ar"/>
              </w:rPr>
              <w:t>基础信息完善性</w:t>
            </w:r>
            <w:r>
              <w:rPr>
                <w:rFonts w:ascii="仿宋_GB2312" w:hAnsi="新宋体" w:eastAsia="仿宋_GB2312" w:cs="仿宋_GB2312"/>
                <w:kern w:val="0"/>
                <w:szCs w:val="21"/>
                <w:lang w:bidi="ar"/>
              </w:rPr>
              <w:t>（4</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部门基础信息是否完善，用以反映和评价基础信息对预算管理工作的支撑情况。</w:t>
            </w:r>
          </w:p>
          <w:p>
            <w:pPr>
              <w:widowControl/>
              <w:spacing w:line="240" w:lineRule="exact"/>
              <w:jc w:val="left"/>
              <w:rPr>
                <w:szCs w:val="21"/>
              </w:rPr>
            </w:pPr>
            <w:r>
              <w:rPr>
                <w:rFonts w:ascii="仿宋_GB2312" w:hAnsi="新宋体" w:eastAsia="仿宋_GB2312" w:cs="仿宋_GB2312"/>
                <w:kern w:val="0"/>
                <w:szCs w:val="21"/>
                <w:lang w:bidi="ar"/>
              </w:rPr>
              <w:t>评价要点：</w:t>
            </w:r>
          </w:p>
          <w:p>
            <w:pPr>
              <w:widowControl/>
              <w:spacing w:line="240" w:lineRule="exact"/>
              <w:jc w:val="left"/>
              <w:rPr>
                <w:szCs w:val="21"/>
              </w:rPr>
            </w:pPr>
            <w:r>
              <w:rPr>
                <w:rFonts w:ascii="仿宋_GB2312" w:hAnsi="新宋体" w:eastAsia="仿宋_GB2312" w:cs="仿宋_GB2312"/>
                <w:kern w:val="0"/>
                <w:szCs w:val="21"/>
                <w:lang w:bidi="ar"/>
              </w:rPr>
              <w:t>1.基本财务管理制度健全；</w:t>
            </w:r>
          </w:p>
          <w:p>
            <w:pPr>
              <w:widowControl/>
              <w:spacing w:line="240" w:lineRule="exact"/>
              <w:jc w:val="left"/>
              <w:rPr>
                <w:szCs w:val="21"/>
              </w:rPr>
            </w:pPr>
            <w:r>
              <w:rPr>
                <w:rFonts w:ascii="仿宋_GB2312" w:hAnsi="新宋体" w:eastAsia="仿宋_GB2312" w:cs="仿宋_GB2312"/>
                <w:kern w:val="0"/>
                <w:szCs w:val="21"/>
                <w:lang w:bidi="ar"/>
              </w:rPr>
              <w:t>2.基础数据信息和会计信息资料真实；</w:t>
            </w:r>
          </w:p>
          <w:p>
            <w:pPr>
              <w:widowControl/>
              <w:spacing w:line="240" w:lineRule="exact"/>
              <w:jc w:val="left"/>
              <w:rPr>
                <w:szCs w:val="21"/>
              </w:rPr>
            </w:pPr>
            <w:r>
              <w:rPr>
                <w:rFonts w:ascii="仿宋_GB2312" w:hAnsi="新宋体" w:eastAsia="仿宋_GB2312" w:cs="仿宋_GB2312"/>
                <w:kern w:val="0"/>
                <w:szCs w:val="21"/>
                <w:lang w:bidi="ar"/>
              </w:rPr>
              <w:t>3.基础数据信息和会计信息资料完整；</w:t>
            </w:r>
          </w:p>
          <w:p>
            <w:pPr>
              <w:widowControl/>
              <w:spacing w:line="240" w:lineRule="exact"/>
              <w:jc w:val="left"/>
              <w:rPr>
                <w:szCs w:val="21"/>
              </w:rPr>
            </w:pPr>
            <w:r>
              <w:rPr>
                <w:rFonts w:ascii="仿宋_GB2312" w:hAnsi="新宋体" w:eastAsia="仿宋_GB2312" w:cs="仿宋_GB2312"/>
                <w:kern w:val="0"/>
                <w:szCs w:val="21"/>
                <w:lang w:bidi="ar"/>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符合全部四项（4）；</w:t>
            </w:r>
          </w:p>
          <w:p>
            <w:pPr>
              <w:widowControl/>
              <w:spacing w:line="240" w:lineRule="exact"/>
              <w:jc w:val="left"/>
              <w:rPr>
                <w:szCs w:val="21"/>
              </w:rPr>
            </w:pPr>
            <w:r>
              <w:rPr>
                <w:rFonts w:ascii="仿宋_GB2312" w:hAnsi="新宋体" w:eastAsia="仿宋_GB2312" w:cs="仿宋_GB2312"/>
                <w:kern w:val="0"/>
                <w:szCs w:val="21"/>
                <w:lang w:bidi="ar"/>
              </w:rPr>
              <w:t>符合其中三项（2）；</w:t>
            </w:r>
          </w:p>
          <w:p>
            <w:pPr>
              <w:widowControl/>
              <w:spacing w:line="240" w:lineRule="exact"/>
              <w:jc w:val="left"/>
              <w:rPr>
                <w:szCs w:val="21"/>
              </w:rPr>
            </w:pPr>
            <w:r>
              <w:rPr>
                <w:rFonts w:ascii="仿宋_GB2312" w:hAnsi="新宋体" w:eastAsia="仿宋_GB2312" w:cs="仿宋_GB2312"/>
                <w:kern w:val="0"/>
                <w:szCs w:val="21"/>
                <w:lang w:bidi="ar"/>
              </w:rPr>
              <w:t>符合其中两项（1）；</w:t>
            </w:r>
          </w:p>
          <w:p>
            <w:pPr>
              <w:widowControl/>
              <w:spacing w:line="240" w:lineRule="exact"/>
              <w:jc w:val="left"/>
              <w:rPr>
                <w:szCs w:val="21"/>
              </w:rPr>
            </w:pPr>
            <w:r>
              <w:rPr>
                <w:rFonts w:ascii="仿宋_GB2312" w:hAnsi="新宋体" w:eastAsia="仿宋_GB2312" w:cs="仿宋_GB2312"/>
                <w:kern w:val="0"/>
                <w:szCs w:val="21"/>
                <w:lang w:bidi="ar"/>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资产管理</w:t>
            </w:r>
            <w:r>
              <w:rPr>
                <w:rFonts w:hint="eastAsia" w:ascii="仿宋_GB2312" w:hAnsi="新宋体" w:eastAsia="仿宋_GB2312" w:cs="仿宋_GB2312"/>
                <w:kern w:val="0"/>
                <w:szCs w:val="21"/>
                <w:lang w:bidi="ar"/>
              </w:rPr>
              <w:t>情况</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5分</w:t>
            </w:r>
            <w:r>
              <w:rPr>
                <w:rFonts w:ascii="仿宋_GB2312" w:hAnsi="新宋体" w:eastAsia="仿宋_GB2312" w:cs="仿宋_GB2312"/>
                <w:kern w:val="0"/>
                <w:szCs w:val="21"/>
                <w:lang w:bidi="ar"/>
              </w:rPr>
              <w:t>）</w:t>
            </w: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资产管理完整性（</w:t>
            </w:r>
            <w:r>
              <w:rPr>
                <w:rFonts w:hint="eastAsia" w:ascii="仿宋_GB2312" w:hAnsi="新宋体" w:eastAsia="仿宋_GB2312" w:cs="仿宋_GB2312"/>
                <w:kern w:val="0"/>
                <w:szCs w:val="21"/>
                <w:lang w:bidi="ar"/>
              </w:rPr>
              <w:t>2分</w:t>
            </w:r>
            <w:r>
              <w:rPr>
                <w:rFonts w:ascii="仿宋_GB2312" w:hAnsi="新宋体" w:eastAsia="仿宋_GB2312" w:cs="仿宋_GB2312"/>
                <w:kern w:val="0"/>
                <w:szCs w:val="21"/>
                <w:lang w:bidi="ar"/>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部门的资产是否保存完整、使用合规、收入及时足额上缴，用以反映和评价部门资产运行情况。</w:t>
            </w:r>
          </w:p>
          <w:p>
            <w:pPr>
              <w:widowControl/>
              <w:spacing w:line="240" w:lineRule="exact"/>
              <w:jc w:val="left"/>
              <w:rPr>
                <w:szCs w:val="21"/>
              </w:rPr>
            </w:pPr>
            <w:r>
              <w:rPr>
                <w:rFonts w:ascii="仿宋_GB2312" w:hAnsi="新宋体" w:eastAsia="仿宋_GB2312" w:cs="仿宋_GB2312"/>
                <w:kern w:val="0"/>
                <w:szCs w:val="21"/>
                <w:lang w:bidi="ar"/>
              </w:rPr>
              <w:t>评价要点：</w:t>
            </w:r>
          </w:p>
          <w:p>
            <w:pPr>
              <w:widowControl/>
              <w:spacing w:line="240" w:lineRule="exact"/>
              <w:jc w:val="left"/>
              <w:rPr>
                <w:szCs w:val="21"/>
              </w:rPr>
            </w:pPr>
            <w:r>
              <w:rPr>
                <w:rFonts w:ascii="仿宋_GB2312" w:hAnsi="新宋体" w:eastAsia="仿宋_GB2312" w:cs="仿宋_GB2312"/>
                <w:kern w:val="0"/>
                <w:szCs w:val="21"/>
                <w:lang w:bidi="ar"/>
              </w:rPr>
              <w:t>1.资产保存完整；</w:t>
            </w:r>
          </w:p>
          <w:p>
            <w:pPr>
              <w:widowControl/>
              <w:spacing w:line="240" w:lineRule="exact"/>
              <w:jc w:val="left"/>
              <w:rPr>
                <w:szCs w:val="21"/>
              </w:rPr>
            </w:pPr>
            <w:r>
              <w:rPr>
                <w:rFonts w:ascii="仿宋_GB2312" w:hAnsi="新宋体" w:eastAsia="仿宋_GB2312" w:cs="仿宋_GB2312"/>
                <w:kern w:val="0"/>
                <w:szCs w:val="21"/>
                <w:lang w:bidi="ar"/>
              </w:rPr>
              <w:t>2.资产账务管理是否合规，</w:t>
            </w:r>
            <w:r>
              <w:rPr>
                <w:rFonts w:hint="eastAsia" w:ascii="仿宋_GB2312" w:hAnsi="新宋体" w:eastAsia="仿宋_GB2312" w:cs="仿宋_GB2312"/>
                <w:kern w:val="0"/>
                <w:szCs w:val="21"/>
                <w:lang w:val="en-US" w:eastAsia="zh-CN" w:bidi="ar"/>
              </w:rPr>
              <w:t>账</w:t>
            </w:r>
            <w:r>
              <w:rPr>
                <w:rFonts w:ascii="仿宋_GB2312" w:hAnsi="新宋体" w:eastAsia="仿宋_GB2312" w:cs="仿宋_GB2312"/>
                <w:kern w:val="0"/>
                <w:szCs w:val="21"/>
                <w:lang w:bidi="ar"/>
              </w:rPr>
              <w:t>实相符；</w:t>
            </w:r>
          </w:p>
          <w:p>
            <w:pPr>
              <w:widowControl/>
              <w:spacing w:line="240" w:lineRule="exact"/>
              <w:jc w:val="left"/>
              <w:rPr>
                <w:szCs w:val="21"/>
              </w:rPr>
            </w:pPr>
            <w:r>
              <w:rPr>
                <w:rFonts w:ascii="仿宋_GB2312" w:hAnsi="新宋体" w:eastAsia="仿宋_GB2312" w:cs="仿宋_GB2312"/>
                <w:kern w:val="0"/>
                <w:szCs w:val="21"/>
                <w:lang w:bidi="ar"/>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符合全部三项（3）；</w:t>
            </w:r>
          </w:p>
          <w:p>
            <w:pPr>
              <w:widowControl/>
              <w:spacing w:line="240" w:lineRule="exact"/>
              <w:jc w:val="left"/>
              <w:rPr>
                <w:szCs w:val="21"/>
              </w:rPr>
            </w:pPr>
            <w:r>
              <w:rPr>
                <w:rFonts w:ascii="仿宋_GB2312" w:hAnsi="新宋体" w:eastAsia="仿宋_GB2312" w:cs="仿宋_GB2312"/>
                <w:kern w:val="0"/>
                <w:szCs w:val="21"/>
                <w:lang w:bidi="ar"/>
              </w:rPr>
              <w:t>符合其中两项（2）；</w:t>
            </w:r>
          </w:p>
          <w:p>
            <w:pPr>
              <w:widowControl/>
              <w:spacing w:line="240" w:lineRule="exact"/>
              <w:jc w:val="left"/>
              <w:rPr>
                <w:szCs w:val="21"/>
              </w:rPr>
            </w:pPr>
            <w:r>
              <w:rPr>
                <w:rFonts w:ascii="仿宋_GB2312" w:hAnsi="新宋体" w:eastAsia="仿宋_GB2312" w:cs="仿宋_GB2312"/>
                <w:kern w:val="0"/>
                <w:szCs w:val="21"/>
                <w:lang w:bidi="ar"/>
              </w:rPr>
              <w:t>符合其中一项（1）；</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固定资产利用率（</w:t>
            </w:r>
            <w:r>
              <w:rPr>
                <w:rFonts w:hint="eastAsia" w:ascii="仿宋_GB2312" w:hAnsi="新宋体" w:eastAsia="仿宋_GB2312" w:cs="仿宋_GB2312"/>
                <w:kern w:val="0"/>
                <w:szCs w:val="21"/>
                <w:lang w:bidi="ar"/>
              </w:rPr>
              <w:t>3分</w:t>
            </w:r>
            <w:r>
              <w:rPr>
                <w:rFonts w:ascii="仿宋_GB2312" w:hAnsi="新宋体" w:eastAsia="仿宋_GB2312" w:cs="仿宋_GB2312"/>
                <w:kern w:val="0"/>
                <w:szCs w:val="21"/>
                <w:lang w:bidi="ar"/>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部门实际在用固定资产总额与所有固定资产总额的比率，用以反映和评价部门固定资产使用效率。</w:t>
            </w:r>
          </w:p>
          <w:p>
            <w:pPr>
              <w:widowControl/>
              <w:spacing w:line="240" w:lineRule="exact"/>
              <w:jc w:val="left"/>
              <w:rPr>
                <w:szCs w:val="21"/>
              </w:rPr>
            </w:pPr>
            <w:r>
              <w:rPr>
                <w:rFonts w:ascii="仿宋_GB2312" w:hAnsi="新宋体" w:eastAsia="仿宋_GB2312" w:cs="仿宋_GB2312"/>
                <w:kern w:val="0"/>
                <w:szCs w:val="21"/>
                <w:lang w:bidi="ar"/>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1.固定资产利用率大于或等于95%的，得满分；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2.固定资产利用率小于或等于85%的，得0分；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3.固定资产利用率在85%-95%之间的，在0和满分之间计算确定：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产出(2</w:t>
            </w:r>
            <w:r>
              <w:rPr>
                <w:rFonts w:hint="eastAsia" w:ascii="仿宋_GB2312" w:hAnsi="新宋体" w:eastAsia="仿宋_GB2312" w:cs="仿宋_GB2312"/>
                <w:kern w:val="0"/>
                <w:szCs w:val="21"/>
                <w:lang w:bidi="ar"/>
              </w:rPr>
              <w:t>5分</w:t>
            </w:r>
            <w:r>
              <w:rPr>
                <w:rFonts w:ascii="仿宋_GB2312" w:hAnsi="新宋体" w:eastAsia="仿宋_GB2312" w:cs="仿宋_GB2312"/>
                <w:kern w:val="0"/>
                <w:szCs w:val="21"/>
                <w:lang w:bidi="ar"/>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职责履行</w:t>
            </w:r>
            <w:r>
              <w:rPr>
                <w:rFonts w:hint="eastAsia" w:ascii="仿宋_GB2312" w:hAnsi="新宋体" w:eastAsia="仿宋_GB2312" w:cs="仿宋_GB2312"/>
                <w:kern w:val="0"/>
                <w:szCs w:val="21"/>
                <w:lang w:bidi="ar"/>
              </w:rPr>
              <w:t>情况</w:t>
            </w:r>
            <w:r>
              <w:rPr>
                <w:rFonts w:ascii="仿宋_GB2312" w:hAnsi="新宋体" w:eastAsia="仿宋_GB2312" w:cs="仿宋_GB2312"/>
                <w:kern w:val="0"/>
                <w:szCs w:val="21"/>
                <w:lang w:bidi="ar"/>
              </w:rPr>
              <w:t>（2</w:t>
            </w:r>
            <w:r>
              <w:rPr>
                <w:rFonts w:hint="eastAsia" w:ascii="仿宋_GB2312" w:hAnsi="新宋体" w:eastAsia="仿宋_GB2312" w:cs="仿宋_GB2312"/>
                <w:kern w:val="0"/>
                <w:szCs w:val="21"/>
                <w:lang w:bidi="ar"/>
              </w:rPr>
              <w:t>5</w:t>
            </w:r>
            <w:r>
              <w:rPr>
                <w:rFonts w:ascii="仿宋_GB2312" w:hAnsi="新宋体" w:eastAsia="仿宋_GB2312" w:cs="仿宋_GB2312"/>
                <w:kern w:val="0"/>
                <w:szCs w:val="21"/>
                <w:lang w:bidi="ar"/>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lang w:bidi="ar"/>
              </w:rPr>
              <w:t>履职完成情况</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10分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lang w:bidi="ar"/>
              </w:rPr>
              <w:t>根据年度主要任务分解表的具体任务，逐项评价任务量化指标完成情况、实施效果和责任制建立情况。用以反映和考核部门（单位）履职工作任务目标的完成情况。评价要点：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xml:space="preserve">1.每项任务是否已制定了明确、具体、可量化、可衡量的绩效指标；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2.每项任务绩效指标的完成情况，是全部完成、基本完成、未完成，还是未实施；</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3.每项任务实施效果情况，是优秀、良好、一般，还是无效果；</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lang w:bidi="ar"/>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rFonts w:hint="default" w:eastAsiaTheme="minorEastAsia"/>
                <w:szCs w:val="21"/>
                <w:lang w:val="en-US" w:eastAsia="zh-CN"/>
              </w:rPr>
            </w:pPr>
            <w:r>
              <w:rPr>
                <w:rFonts w:hint="eastAsia"/>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项目</w:t>
            </w:r>
            <w:r>
              <w:rPr>
                <w:rFonts w:hint="eastAsia" w:ascii="仿宋_GB2312" w:hAnsi="新宋体" w:eastAsia="仿宋_GB2312" w:cs="仿宋_GB2312"/>
                <w:kern w:val="0"/>
                <w:szCs w:val="21"/>
                <w:lang w:bidi="ar"/>
              </w:rPr>
              <w:t>完成</w:t>
            </w:r>
            <w:r>
              <w:rPr>
                <w:rFonts w:ascii="仿宋_GB2312" w:hAnsi="新宋体" w:eastAsia="仿宋_GB2312" w:cs="仿宋_GB2312"/>
                <w:kern w:val="0"/>
                <w:szCs w:val="21"/>
                <w:lang w:bidi="ar"/>
              </w:rPr>
              <w:t>质量达标率（</w:t>
            </w:r>
            <w:r>
              <w:rPr>
                <w:rFonts w:hint="eastAsia" w:ascii="仿宋_GB2312" w:hAnsi="新宋体" w:eastAsia="仿宋_GB2312" w:cs="仿宋_GB2312"/>
                <w:kern w:val="0"/>
                <w:szCs w:val="21"/>
                <w:lang w:bidi="ar"/>
              </w:rPr>
              <w:t>15</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部门已完成项目中质量达标项目个数占已完成项目个数的比率,用以反映和评价部门履职质量目标的实现程度。</w:t>
            </w:r>
          </w:p>
          <w:p>
            <w:pPr>
              <w:widowControl/>
              <w:spacing w:line="240" w:lineRule="exact"/>
              <w:jc w:val="left"/>
              <w:rPr>
                <w:szCs w:val="21"/>
              </w:rPr>
            </w:pPr>
            <w:r>
              <w:rPr>
                <w:rFonts w:ascii="仿宋_GB2312" w:hAnsi="新宋体" w:eastAsia="仿宋_GB2312" w:cs="仿宋_GB2312"/>
                <w:kern w:val="0"/>
                <w:szCs w:val="21"/>
                <w:lang w:bidi="ar"/>
              </w:rPr>
              <w:t>项目质量达标率=（已完成项目中质量达标项目个数/已完成项目个数）×100%。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项目质量达标是指项目决算验收合格。</w:t>
            </w:r>
          </w:p>
        </w:tc>
        <w:tc>
          <w:tcPr>
            <w:tcW w:w="2373"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1.项目质量达标率等于100%的，得满分；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2.项目质量达标率小于或等于99%的，得0分；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 xml:space="preserve">3.项目质量达标率在99%-100%之间的，在0和满分之间计算确定： </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rFonts w:hint="default" w:eastAsiaTheme="minorEastAsia"/>
                <w:szCs w:val="21"/>
                <w:lang w:val="en-US" w:eastAsia="zh-CN"/>
              </w:rPr>
            </w:pPr>
            <w:r>
              <w:rPr>
                <w:rFonts w:hint="eastAsia"/>
                <w:szCs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效果（</w:t>
            </w:r>
            <w:r>
              <w:rPr>
                <w:rFonts w:hint="eastAsia" w:ascii="仿宋_GB2312" w:hAnsi="新宋体" w:eastAsia="仿宋_GB2312" w:cs="仿宋_GB2312"/>
                <w:kern w:val="0"/>
                <w:szCs w:val="21"/>
                <w:lang w:bidi="ar"/>
              </w:rPr>
              <w:t>2</w:t>
            </w:r>
            <w:r>
              <w:rPr>
                <w:rFonts w:ascii="仿宋_GB2312" w:hAnsi="新宋体" w:eastAsia="仿宋_GB2312" w:cs="仿宋_GB2312"/>
                <w:kern w:val="0"/>
                <w:szCs w:val="21"/>
                <w:lang w:bidi="ar"/>
              </w:rPr>
              <w:t>0</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743" w:type="dxa"/>
            <w:vMerge w:val="restart"/>
            <w:tcBorders>
              <w:top w:val="single" w:color="auto" w:sz="4" w:space="0"/>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p>
            <w:pPr>
              <w:widowControl/>
              <w:spacing w:line="240" w:lineRule="exact"/>
              <w:jc w:val="left"/>
              <w:rPr>
                <w:rFonts w:ascii="仿宋_GB2312" w:hAnsi="新宋体" w:eastAsia="仿宋_GB2312" w:cs="仿宋_GB2312"/>
                <w:kern w:val="0"/>
                <w:szCs w:val="21"/>
                <w:lang w:bidi="ar"/>
              </w:rPr>
            </w:pPr>
            <w:r>
              <w:rPr>
                <w:rFonts w:hint="eastAsia" w:ascii="仿宋_GB2312" w:hAnsi="新宋体" w:eastAsia="仿宋_GB2312" w:cs="仿宋_GB2312"/>
                <w:kern w:val="0"/>
                <w:szCs w:val="21"/>
                <w:lang w:bidi="ar"/>
              </w:rPr>
              <w:t>履职效益情况</w:t>
            </w:r>
          </w:p>
          <w:p>
            <w:pPr>
              <w:widowControl/>
              <w:spacing w:line="240" w:lineRule="exact"/>
              <w:jc w:val="left"/>
              <w:rPr>
                <w:rFonts w:ascii="仿宋_GB2312" w:hAnsi="新宋体" w:eastAsia="仿宋_GB2312" w:cs="仿宋_GB2312"/>
                <w:kern w:val="0"/>
                <w:szCs w:val="21"/>
                <w:lang w:bidi="ar"/>
              </w:rPr>
            </w:pP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2</w:t>
            </w:r>
            <w:r>
              <w:rPr>
                <w:rFonts w:ascii="仿宋_GB2312" w:hAnsi="新宋体" w:eastAsia="仿宋_GB2312" w:cs="仿宋_GB2312"/>
                <w:kern w:val="0"/>
                <w:szCs w:val="21"/>
                <w:lang w:bidi="ar"/>
              </w:rPr>
              <w:t>0</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color w:val="000000"/>
                <w:kern w:val="0"/>
                <w:szCs w:val="21"/>
                <w:lang w:bidi="ar"/>
              </w:rPr>
              <w:t>经济效益</w:t>
            </w:r>
            <w:r>
              <w:rPr>
                <w:rFonts w:ascii="仿宋_GB2312" w:hAnsi="新宋体" w:eastAsia="仿宋_GB2312" w:cs="仿宋_GB2312"/>
                <w:kern w:val="0"/>
                <w:szCs w:val="21"/>
                <w:lang w:bidi="ar"/>
              </w:rPr>
              <w:t>（5</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部门及所属二级单位通过履行职责和预算安排支出项目的实施，对我市带来的经济影响。</w:t>
            </w:r>
          </w:p>
          <w:p>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lang w:bidi="ar"/>
              </w:rPr>
              <w:t>评价要点：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xml:space="preserve">1.通过部门所属企事业单位改革，促进了企事业单位效益增长情况；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2.通过预算支出项目的实施，促进了行业生产能力增长，从而带动行业经济效益增长；</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3.通过预算支出项目的实施，有效提高劳动效率，节约成本费用；</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4.通过预算支出项目的实施，降低了损耗，从而提高了生产效益；</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lang w:bidi="ar"/>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rPr>
                <w:rFonts w:ascii="仿宋_GB2312" w:hAnsi="新宋体" w:eastAsia="仿宋_GB2312" w:cs="仿宋_GB2312"/>
                <w:color w:val="000000"/>
                <w:kern w:val="0"/>
                <w:szCs w:val="21"/>
                <w:lang w:bidi="ar"/>
              </w:rPr>
            </w:pPr>
            <w:r>
              <w:rPr>
                <w:rFonts w:hint="eastAsia" w:ascii="仿宋_GB2312" w:hAnsi="新宋体" w:eastAsia="仿宋_GB2312" w:cs="仿宋_GB2312"/>
                <w:color w:val="000000"/>
                <w:kern w:val="0"/>
                <w:szCs w:val="21"/>
                <w:lang w:bidi="ar"/>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部门及所属二级单位履行职责对社会发展所带来的直接或间接影响。</w:t>
            </w:r>
          </w:p>
          <w:p>
            <w:pPr>
              <w:widowControl/>
              <w:spacing w:line="240" w:lineRule="exac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评价要点：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xml:space="preserve">1.通过部门所属企事业单位的改革，促进了企事业单位可持续发展，带动就业增长情况；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2.通过预算支出项目的实施，是否明显促进了行业精神文明建设；</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3.通过部门履职是否明显提高城乡居民生活水平，满足了人们日益增长的物质与文化生活需求；</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4.通过预算项目的实施，是否提高了劳动生产率，降低了劳动强度，促进了劳动人民的身心健康；</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ascii="仿宋" w:hAnsi="仿宋" w:eastAsia="仿宋" w:cs="仿宋"/>
                <w:szCs w:val="21"/>
              </w:rPr>
            </w:pPr>
            <w:r>
              <w:rPr>
                <w:rFonts w:hint="eastAsia" w:ascii="仿宋" w:hAnsi="仿宋" w:eastAsia="仿宋" w:cs="仿宋"/>
                <w:color w:val="000000"/>
                <w:kern w:val="0"/>
                <w:szCs w:val="21"/>
                <w:lang w:bidi="ar"/>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_GB2312" w:hAnsi="新宋体" w:eastAsia="仿宋_GB2312" w:cs="仿宋_GB2312"/>
                <w:color w:val="000000"/>
                <w:kern w:val="0"/>
                <w:szCs w:val="21"/>
                <w:lang w:bidi="ar"/>
              </w:rPr>
            </w:pPr>
            <w:r>
              <w:rPr>
                <w:rFonts w:hint="eastAsia" w:ascii="仿宋_GB2312" w:hAnsi="新宋体" w:eastAsia="仿宋_GB2312" w:cs="仿宋_GB2312"/>
                <w:color w:val="000000"/>
                <w:kern w:val="0"/>
                <w:szCs w:val="21"/>
                <w:lang w:bidi="ar"/>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部门及所属二级单位履行职责对生态环境所带来的直接或间接影响。</w:t>
            </w:r>
          </w:p>
          <w:p>
            <w:pPr>
              <w:widowControl/>
              <w:spacing w:line="240" w:lineRule="exac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评价要点：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2.通过履职有效地控制虚假、伪劣、霉变等劣质产品进入市场，影响了人民生活质量，净化地市场环境；</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3.通过预算支出项目的实施，是否达到减少污染物排放；</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lang w:bidi="ar"/>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lang w:bidi="ar"/>
              </w:rPr>
              <w:t>服务对象</w:t>
            </w:r>
            <w:r>
              <w:rPr>
                <w:rFonts w:ascii="仿宋_GB2312" w:hAnsi="新宋体" w:eastAsia="仿宋_GB2312" w:cs="仿宋_GB2312"/>
                <w:kern w:val="0"/>
                <w:szCs w:val="21"/>
                <w:lang w:bidi="ar"/>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hint="eastAsia" w:ascii="仿宋_GB2312" w:hAnsi="新宋体" w:eastAsia="仿宋_GB2312" w:cs="仿宋_GB2312"/>
                <w:kern w:val="0"/>
                <w:szCs w:val="21"/>
                <w:lang w:bidi="ar"/>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pPr>
              <w:widowControl/>
              <w:spacing w:line="240" w:lineRule="exact"/>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77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宋体" w:eastAsiaTheme="minorEastAsia"/>
                <w:szCs w:val="21"/>
                <w:lang w:val="en-US" w:eastAsia="zh-CN"/>
              </w:rPr>
            </w:pPr>
            <w:r>
              <w:rPr>
                <w:rFonts w:hint="eastAsia" w:ascii="宋体"/>
                <w:szCs w:val="21"/>
                <w:lang w:val="en-US" w:eastAsia="zh-CN"/>
              </w:rPr>
              <w:t>合计</w:t>
            </w:r>
          </w:p>
        </w:tc>
        <w:tc>
          <w:tcPr>
            <w:tcW w:w="743" w:type="dxa"/>
            <w:tcBorders>
              <w:left w:val="single" w:color="000000" w:sz="4" w:space="0"/>
              <w:bottom w:val="single" w:color="auto" w:sz="4" w:space="0"/>
              <w:right w:val="single" w:color="000000" w:sz="4" w:space="0"/>
            </w:tcBorders>
            <w:vAlign w:val="center"/>
          </w:tcPr>
          <w:p>
            <w:pPr>
              <w:widowControl/>
              <w:spacing w:line="240" w:lineRule="exact"/>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新宋体" w:eastAsia="仿宋_GB2312" w:cs="仿宋_GB2312"/>
                <w:kern w:val="0"/>
                <w:szCs w:val="21"/>
                <w:lang w:bidi="ar"/>
              </w:rPr>
            </w:pP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新宋体" w:eastAsia="仿宋_GB2312" w:cs="仿宋_GB2312"/>
                <w:kern w:val="0"/>
                <w:szCs w:val="21"/>
                <w:lang w:bidi="ar"/>
              </w:rPr>
            </w:pP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rPr>
                <w:rFonts w:ascii="仿宋" w:hAnsi="仿宋" w:eastAsia="仿宋" w:cs="Arial"/>
                <w:kern w:val="0"/>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default" w:eastAsiaTheme="minorEastAsia"/>
                <w:szCs w:val="21"/>
                <w:lang w:val="en-US" w:eastAsia="zh-CN"/>
              </w:rPr>
            </w:pPr>
            <w:r>
              <w:rPr>
                <w:rFonts w:hint="eastAsia"/>
                <w:szCs w:val="21"/>
                <w:lang w:val="en-US" w:eastAsia="zh-CN"/>
              </w:rPr>
              <w:t>92</w:t>
            </w:r>
          </w:p>
        </w:tc>
      </w:tr>
    </w:tbl>
    <w:p>
      <w:pPr>
        <w:spacing w:line="240" w:lineRule="exact"/>
        <w:rPr>
          <w:rFonts w:ascii="仿宋" w:hAnsi="仿宋" w:eastAsia="仿宋" w:cs="仿宋"/>
          <w:sz w:val="32"/>
          <w:szCs w:val="32"/>
        </w:rPr>
      </w:pPr>
    </w:p>
    <w:p>
      <w:pPr>
        <w:spacing w:line="240" w:lineRule="exact"/>
        <w:rPr>
          <w:rFonts w:ascii="仿宋" w:hAnsi="仿宋" w:eastAsia="仿宋" w:cs="仿宋"/>
          <w:sz w:val="32"/>
          <w:szCs w:val="32"/>
        </w:rPr>
      </w:pPr>
    </w:p>
    <w:p>
      <w:pPr>
        <w:spacing w:line="240" w:lineRule="exact"/>
        <w:rPr>
          <w:rFonts w:hint="eastAsia" w:ascii="仿宋" w:hAnsi="仿宋" w:eastAsia="仿宋" w:cs="仿宋"/>
          <w:sz w:val="32"/>
          <w:szCs w:val="32"/>
          <w:lang w:val="en-US" w:eastAsia="zh-CN"/>
        </w:rPr>
      </w:pP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6</w:t>
    </w:r>
    <w:r>
      <w:rPr>
        <w:rStyle w:val="11"/>
        <w:rFonts w:ascii="宋体" w:hAnsi="宋体" w:eastAsia="宋体"/>
        <w:sz w:val="28"/>
        <w:szCs w:val="28"/>
      </w:rPr>
      <w:fldChar w:fldCharType="end"/>
    </w:r>
    <w:r>
      <w:rPr>
        <w:rStyle w:val="11"/>
        <w:rFonts w:hint="eastAsia" w:ascii="宋体" w:hAnsi="宋体" w:eastAsia="宋体"/>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7760FA"/>
    <w:multiLevelType w:val="multilevel"/>
    <w:tmpl w:val="1B7760F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FmNzg0NDViYjAzZDkwYTg4MDY0NDk0OWQ0OTA3NjEifQ=="/>
  </w:docVars>
  <w:rsids>
    <w:rsidRoot w:val="00042933"/>
    <w:rsid w:val="00002F2C"/>
    <w:rsid w:val="000070A8"/>
    <w:rsid w:val="00016CA4"/>
    <w:rsid w:val="000324AE"/>
    <w:rsid w:val="00042933"/>
    <w:rsid w:val="0008033E"/>
    <w:rsid w:val="0008759D"/>
    <w:rsid w:val="00094F2B"/>
    <w:rsid w:val="000B0A83"/>
    <w:rsid w:val="000B6322"/>
    <w:rsid w:val="000C2CC1"/>
    <w:rsid w:val="000E4A5A"/>
    <w:rsid w:val="00103547"/>
    <w:rsid w:val="0017068B"/>
    <w:rsid w:val="00185A3C"/>
    <w:rsid w:val="00192D5A"/>
    <w:rsid w:val="001C59B3"/>
    <w:rsid w:val="001E0886"/>
    <w:rsid w:val="001F7E31"/>
    <w:rsid w:val="002071BC"/>
    <w:rsid w:val="00225AE6"/>
    <w:rsid w:val="00235F0F"/>
    <w:rsid w:val="00255783"/>
    <w:rsid w:val="00290BA1"/>
    <w:rsid w:val="002A6AEA"/>
    <w:rsid w:val="002F2268"/>
    <w:rsid w:val="003C50C2"/>
    <w:rsid w:val="0041099F"/>
    <w:rsid w:val="00436A1D"/>
    <w:rsid w:val="004379D7"/>
    <w:rsid w:val="004A68B1"/>
    <w:rsid w:val="004B64F3"/>
    <w:rsid w:val="004E3B64"/>
    <w:rsid w:val="005020C5"/>
    <w:rsid w:val="00567FE6"/>
    <w:rsid w:val="0058162A"/>
    <w:rsid w:val="005B3616"/>
    <w:rsid w:val="005E12FA"/>
    <w:rsid w:val="00683167"/>
    <w:rsid w:val="006A5056"/>
    <w:rsid w:val="006E64C9"/>
    <w:rsid w:val="007048FF"/>
    <w:rsid w:val="00712100"/>
    <w:rsid w:val="0071700D"/>
    <w:rsid w:val="00742652"/>
    <w:rsid w:val="00772600"/>
    <w:rsid w:val="007D5D41"/>
    <w:rsid w:val="007F01F9"/>
    <w:rsid w:val="00856BA1"/>
    <w:rsid w:val="00867620"/>
    <w:rsid w:val="008709E0"/>
    <w:rsid w:val="008A6A10"/>
    <w:rsid w:val="008A6A31"/>
    <w:rsid w:val="00904AF4"/>
    <w:rsid w:val="00905542"/>
    <w:rsid w:val="00917700"/>
    <w:rsid w:val="00956F74"/>
    <w:rsid w:val="009B0B5F"/>
    <w:rsid w:val="009C04DA"/>
    <w:rsid w:val="009C4C62"/>
    <w:rsid w:val="009E3627"/>
    <w:rsid w:val="009F53E7"/>
    <w:rsid w:val="00A11BF8"/>
    <w:rsid w:val="00A14A33"/>
    <w:rsid w:val="00A6449D"/>
    <w:rsid w:val="00A768DB"/>
    <w:rsid w:val="00AA09C8"/>
    <w:rsid w:val="00AD5F30"/>
    <w:rsid w:val="00B0681D"/>
    <w:rsid w:val="00B9023F"/>
    <w:rsid w:val="00BC1FDC"/>
    <w:rsid w:val="00BD0FD8"/>
    <w:rsid w:val="00C44804"/>
    <w:rsid w:val="00C6362A"/>
    <w:rsid w:val="00C81363"/>
    <w:rsid w:val="00CB27A5"/>
    <w:rsid w:val="00CD55ED"/>
    <w:rsid w:val="00CD63C0"/>
    <w:rsid w:val="00CE62A0"/>
    <w:rsid w:val="00D21F0C"/>
    <w:rsid w:val="00D366C1"/>
    <w:rsid w:val="00D877F7"/>
    <w:rsid w:val="00DB2D43"/>
    <w:rsid w:val="00E266F1"/>
    <w:rsid w:val="00EB16A8"/>
    <w:rsid w:val="00EC7904"/>
    <w:rsid w:val="00F72E93"/>
    <w:rsid w:val="00F87A11"/>
    <w:rsid w:val="00FB7E01"/>
    <w:rsid w:val="00FE5F4C"/>
    <w:rsid w:val="00FF39F6"/>
    <w:rsid w:val="05374814"/>
    <w:rsid w:val="079D5546"/>
    <w:rsid w:val="0C8F0285"/>
    <w:rsid w:val="0F8F6BFC"/>
    <w:rsid w:val="107166F3"/>
    <w:rsid w:val="128C6957"/>
    <w:rsid w:val="13141A28"/>
    <w:rsid w:val="150C4327"/>
    <w:rsid w:val="18644328"/>
    <w:rsid w:val="1C841DE7"/>
    <w:rsid w:val="3791647A"/>
    <w:rsid w:val="3C0E4427"/>
    <w:rsid w:val="455969D8"/>
    <w:rsid w:val="48725571"/>
    <w:rsid w:val="49F01357"/>
    <w:rsid w:val="4B6F3E23"/>
    <w:rsid w:val="4BDB04ED"/>
    <w:rsid w:val="526A3656"/>
    <w:rsid w:val="53CD5365"/>
    <w:rsid w:val="57B2737C"/>
    <w:rsid w:val="5D643D56"/>
    <w:rsid w:val="5E2C7993"/>
    <w:rsid w:val="64283056"/>
    <w:rsid w:val="68D94305"/>
    <w:rsid w:val="69BD0A47"/>
    <w:rsid w:val="71A911C9"/>
    <w:rsid w:val="77422BFC"/>
    <w:rsid w:val="7793669D"/>
    <w:rsid w:val="7B972410"/>
    <w:rsid w:val="7CCC21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纯文本 Char"/>
    <w:basedOn w:val="9"/>
    <w:link w:val="4"/>
    <w:qFormat/>
    <w:uiPriority w:val="0"/>
    <w:rPr>
      <w:rFonts w:ascii="宋体" w:hAnsi="Courier New" w:eastAsia="宋体" w:cs="Courier New"/>
      <w:szCs w:val="21"/>
    </w:rPr>
  </w:style>
  <w:style w:type="character" w:customStyle="1" w:styleId="15">
    <w:name w:val="标题 1 Char"/>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6722</Words>
  <Characters>7151</Characters>
  <Lines>37</Lines>
  <Paragraphs>10</Paragraphs>
  <TotalTime>4</TotalTime>
  <ScaleCrop>false</ScaleCrop>
  <LinksUpToDate>false</LinksUpToDate>
  <CharactersWithSpaces>7197</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2016-02-22T07:07:00Z</dcterms:created>
  <dc:creator>Administrator</dc:creator>
  <cp:lastModifiedBy>不二臣</cp:lastModifiedBy>
  <cp:lastPrinted>2018-11-29T03:23:00Z</cp:lastPrinted>
  <dcterms:modified xsi:type="dcterms:W3CDTF">2025-04-08T09:10:24Z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EB7BFAA25B7B4B8AAA0CF57FFD769271</vt:lpwstr>
  </property>
</Properties>
</file>