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967.01</w:t>
            </w:r>
          </w:p>
        </w:tc>
        <w:tc>
          <w:tcPr>
            <w:tcW w:w="4535" w:type="dxa"/>
            <w:vAlign w:val="center"/>
          </w:tcPr>
          <w:p>
            <w:pPr>
              <w:pStyle w:val="12"/>
            </w:pPr>
            <w:r>
              <w:t>一、一般公共服务支出</w:t>
            </w:r>
          </w:p>
        </w:tc>
        <w:tc>
          <w:tcPr>
            <w:tcW w:w="2126" w:type="dxa"/>
            <w:vAlign w:val="center"/>
          </w:tcPr>
          <w:p>
            <w:pPr>
              <w:pStyle w:val="11"/>
            </w:pPr>
            <w:r>
              <w:t>926.46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967.01</w:t>
            </w:r>
          </w:p>
        </w:tc>
        <w:tc>
          <w:tcPr>
            <w:tcW w:w="4535" w:type="dxa"/>
            <w:vAlign w:val="center"/>
          </w:tcPr>
          <w:p>
            <w:pPr>
              <w:pStyle w:val="14"/>
            </w:pPr>
            <w:r>
              <w:t>本年支出合计</w:t>
            </w:r>
          </w:p>
        </w:tc>
        <w:tc>
          <w:tcPr>
            <w:tcW w:w="2126" w:type="dxa"/>
            <w:vAlign w:val="center"/>
          </w:tcPr>
          <w:p>
            <w:pPr>
              <w:pStyle w:val="15"/>
            </w:pPr>
            <w:r>
              <w:t>967.01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967.01</w:t>
            </w:r>
          </w:p>
        </w:tc>
        <w:tc>
          <w:tcPr>
            <w:tcW w:w="4535" w:type="dxa"/>
            <w:vAlign w:val="center"/>
          </w:tcPr>
          <w:p>
            <w:pPr>
              <w:pStyle w:val="14"/>
            </w:pPr>
            <w:r>
              <w:t>支出总计</w:t>
            </w:r>
          </w:p>
        </w:tc>
        <w:tc>
          <w:tcPr>
            <w:tcW w:w="2126" w:type="dxa"/>
            <w:vAlign w:val="center"/>
          </w:tcPr>
          <w:p>
            <w:pPr>
              <w:pStyle w:val="15"/>
            </w:pPr>
            <w:r>
              <w:t>967.01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967.01</w:t>
            </w:r>
          </w:p>
        </w:tc>
        <w:tc>
          <w:tcPr>
            <w:tcW w:w="1134" w:type="dxa"/>
            <w:vAlign w:val="center"/>
          </w:tcPr>
          <w:p>
            <w:pPr>
              <w:pStyle w:val="15"/>
            </w:pPr>
            <w:r>
              <w:t>967.01</w:t>
            </w:r>
          </w:p>
        </w:tc>
        <w:tc>
          <w:tcPr>
            <w:tcW w:w="1134" w:type="dxa"/>
            <w:vAlign w:val="center"/>
          </w:tcPr>
          <w:p>
            <w:pPr>
              <w:pStyle w:val="15"/>
            </w:pPr>
            <w:r>
              <w:t>967.01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926.46</w:t>
            </w:r>
          </w:p>
        </w:tc>
        <w:tc>
          <w:tcPr>
            <w:tcW w:w="1134" w:type="dxa"/>
            <w:vAlign w:val="center"/>
          </w:tcPr>
          <w:p>
            <w:pPr>
              <w:pStyle w:val="11"/>
            </w:pPr>
            <w:r>
              <w:t>926.46</w:t>
            </w:r>
          </w:p>
        </w:tc>
        <w:tc>
          <w:tcPr>
            <w:tcW w:w="1134" w:type="dxa"/>
            <w:vAlign w:val="center"/>
          </w:tcPr>
          <w:p>
            <w:pPr>
              <w:pStyle w:val="11"/>
            </w:pPr>
            <w:r>
              <w:t>926.46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926.46</w:t>
            </w:r>
          </w:p>
        </w:tc>
        <w:tc>
          <w:tcPr>
            <w:tcW w:w="1134" w:type="dxa"/>
            <w:vAlign w:val="center"/>
          </w:tcPr>
          <w:p>
            <w:pPr>
              <w:pStyle w:val="11"/>
            </w:pPr>
            <w:r>
              <w:t>926.46</w:t>
            </w:r>
          </w:p>
        </w:tc>
        <w:tc>
          <w:tcPr>
            <w:tcW w:w="1134" w:type="dxa"/>
            <w:vAlign w:val="center"/>
          </w:tcPr>
          <w:p>
            <w:pPr>
              <w:pStyle w:val="11"/>
            </w:pPr>
            <w:r>
              <w:t>926.46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289.97</w:t>
            </w:r>
          </w:p>
        </w:tc>
        <w:tc>
          <w:tcPr>
            <w:tcW w:w="1134" w:type="dxa"/>
            <w:vAlign w:val="center"/>
          </w:tcPr>
          <w:p>
            <w:pPr>
              <w:pStyle w:val="11"/>
            </w:pPr>
            <w:r>
              <w:t>289.97</w:t>
            </w:r>
          </w:p>
        </w:tc>
        <w:tc>
          <w:tcPr>
            <w:tcW w:w="1134" w:type="dxa"/>
            <w:vAlign w:val="center"/>
          </w:tcPr>
          <w:p>
            <w:pPr>
              <w:pStyle w:val="11"/>
            </w:pPr>
            <w:r>
              <w:t>289.97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636.49</w:t>
            </w:r>
          </w:p>
        </w:tc>
        <w:tc>
          <w:tcPr>
            <w:tcW w:w="1134" w:type="dxa"/>
            <w:vAlign w:val="center"/>
          </w:tcPr>
          <w:p>
            <w:pPr>
              <w:pStyle w:val="11"/>
            </w:pPr>
            <w:r>
              <w:t>636.49</w:t>
            </w:r>
          </w:p>
        </w:tc>
        <w:tc>
          <w:tcPr>
            <w:tcW w:w="1134" w:type="dxa"/>
            <w:vAlign w:val="center"/>
          </w:tcPr>
          <w:p>
            <w:pPr>
              <w:pStyle w:val="11"/>
            </w:pPr>
            <w:r>
              <w:t>636.49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r>
              <w:t>17.96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r>
              <w:t>14.94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967.01</w:t>
            </w:r>
          </w:p>
        </w:tc>
        <w:tc>
          <w:tcPr>
            <w:tcW w:w="1361" w:type="dxa"/>
            <w:vAlign w:val="center"/>
          </w:tcPr>
          <w:p>
            <w:pPr>
              <w:pStyle w:val="15"/>
            </w:pPr>
            <w:r>
              <w:t>330.52</w:t>
            </w:r>
          </w:p>
        </w:tc>
        <w:tc>
          <w:tcPr>
            <w:tcW w:w="1361" w:type="dxa"/>
            <w:vAlign w:val="center"/>
          </w:tcPr>
          <w:p>
            <w:pPr>
              <w:pStyle w:val="15"/>
            </w:pPr>
            <w:r>
              <w:t>636.49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926.46</w:t>
            </w:r>
          </w:p>
        </w:tc>
        <w:tc>
          <w:tcPr>
            <w:tcW w:w="1361" w:type="dxa"/>
            <w:vAlign w:val="center"/>
          </w:tcPr>
          <w:p>
            <w:pPr>
              <w:pStyle w:val="11"/>
            </w:pPr>
            <w:r>
              <w:t>289.97</w:t>
            </w:r>
          </w:p>
        </w:tc>
        <w:tc>
          <w:tcPr>
            <w:tcW w:w="1361" w:type="dxa"/>
            <w:vAlign w:val="center"/>
          </w:tcPr>
          <w:p>
            <w:pPr>
              <w:pStyle w:val="11"/>
            </w:pPr>
            <w:r>
              <w:t>636.49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926.46</w:t>
            </w:r>
          </w:p>
        </w:tc>
        <w:tc>
          <w:tcPr>
            <w:tcW w:w="1361" w:type="dxa"/>
            <w:vAlign w:val="center"/>
          </w:tcPr>
          <w:p>
            <w:pPr>
              <w:pStyle w:val="11"/>
            </w:pPr>
            <w:r>
              <w:t>289.97</w:t>
            </w:r>
          </w:p>
        </w:tc>
        <w:tc>
          <w:tcPr>
            <w:tcW w:w="1361" w:type="dxa"/>
            <w:vAlign w:val="center"/>
          </w:tcPr>
          <w:p>
            <w:pPr>
              <w:pStyle w:val="11"/>
            </w:pPr>
            <w:r>
              <w:t>636.49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289.97</w:t>
            </w:r>
          </w:p>
        </w:tc>
        <w:tc>
          <w:tcPr>
            <w:tcW w:w="1361" w:type="dxa"/>
            <w:vAlign w:val="center"/>
          </w:tcPr>
          <w:p>
            <w:pPr>
              <w:pStyle w:val="11"/>
            </w:pPr>
            <w:r>
              <w:t>289.97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636.49</w:t>
            </w:r>
          </w:p>
        </w:tc>
        <w:tc>
          <w:tcPr>
            <w:tcW w:w="1361" w:type="dxa"/>
            <w:vAlign w:val="center"/>
          </w:tcPr>
          <w:p>
            <w:pPr>
              <w:pStyle w:val="11"/>
            </w:pPr>
          </w:p>
        </w:tc>
        <w:tc>
          <w:tcPr>
            <w:tcW w:w="1361" w:type="dxa"/>
            <w:vAlign w:val="center"/>
          </w:tcPr>
          <w:p>
            <w:pPr>
              <w:pStyle w:val="11"/>
            </w:pPr>
            <w:r>
              <w:t>636.49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17.96</w:t>
            </w:r>
          </w:p>
        </w:tc>
        <w:tc>
          <w:tcPr>
            <w:tcW w:w="1361" w:type="dxa"/>
            <w:vAlign w:val="center"/>
          </w:tcPr>
          <w:p>
            <w:pPr>
              <w:pStyle w:val="11"/>
            </w:pPr>
            <w:r>
              <w:t>17.96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17.96</w:t>
            </w:r>
          </w:p>
        </w:tc>
        <w:tc>
          <w:tcPr>
            <w:tcW w:w="1361" w:type="dxa"/>
            <w:vAlign w:val="center"/>
          </w:tcPr>
          <w:p>
            <w:pPr>
              <w:pStyle w:val="11"/>
            </w:pPr>
            <w:r>
              <w:t>17.96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17.96</w:t>
            </w:r>
          </w:p>
        </w:tc>
        <w:tc>
          <w:tcPr>
            <w:tcW w:w="1361" w:type="dxa"/>
            <w:vAlign w:val="center"/>
          </w:tcPr>
          <w:p>
            <w:pPr>
              <w:pStyle w:val="11"/>
            </w:pPr>
            <w:r>
              <w:t>17.96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14.94</w:t>
            </w:r>
          </w:p>
        </w:tc>
        <w:tc>
          <w:tcPr>
            <w:tcW w:w="1361" w:type="dxa"/>
            <w:vAlign w:val="center"/>
          </w:tcPr>
          <w:p>
            <w:pPr>
              <w:pStyle w:val="11"/>
            </w:pPr>
            <w:r>
              <w:t>14.94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14.94</w:t>
            </w:r>
          </w:p>
        </w:tc>
        <w:tc>
          <w:tcPr>
            <w:tcW w:w="1361" w:type="dxa"/>
            <w:vAlign w:val="center"/>
          </w:tcPr>
          <w:p>
            <w:pPr>
              <w:pStyle w:val="11"/>
            </w:pPr>
            <w:r>
              <w:t>14.94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14.94</w:t>
            </w:r>
          </w:p>
        </w:tc>
        <w:tc>
          <w:tcPr>
            <w:tcW w:w="1361" w:type="dxa"/>
            <w:vAlign w:val="center"/>
          </w:tcPr>
          <w:p>
            <w:pPr>
              <w:pStyle w:val="11"/>
            </w:pPr>
            <w:r>
              <w:t>14.94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w:t>
            </w:r>
            <w:r>
              <w:rPr>
                <w:rFonts w:hint="eastAsia"/>
                <w:lang w:val="en-US" w:eastAsia="zh-CN"/>
              </w:rPr>
              <w:t>:2024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967.01</w:t>
            </w:r>
          </w:p>
        </w:tc>
        <w:tc>
          <w:tcPr>
            <w:tcW w:w="3402" w:type="dxa"/>
            <w:vAlign w:val="center"/>
          </w:tcPr>
          <w:p>
            <w:pPr>
              <w:pStyle w:val="12"/>
            </w:pPr>
            <w:r>
              <w:t>一、一般公共服务支出</w:t>
            </w:r>
          </w:p>
        </w:tc>
        <w:tc>
          <w:tcPr>
            <w:tcW w:w="1474" w:type="dxa"/>
            <w:vAlign w:val="center"/>
          </w:tcPr>
          <w:p>
            <w:pPr>
              <w:pStyle w:val="11"/>
            </w:pPr>
            <w:r>
              <w:t>926.46</w:t>
            </w:r>
          </w:p>
        </w:tc>
        <w:tc>
          <w:tcPr>
            <w:tcW w:w="1474" w:type="dxa"/>
            <w:vAlign w:val="center"/>
          </w:tcPr>
          <w:p>
            <w:pPr>
              <w:pStyle w:val="11"/>
            </w:pPr>
            <w:r>
              <w:t>926.46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17.96</w:t>
            </w:r>
          </w:p>
        </w:tc>
        <w:tc>
          <w:tcPr>
            <w:tcW w:w="1474" w:type="dxa"/>
            <w:vAlign w:val="center"/>
          </w:tcPr>
          <w:p>
            <w:pPr>
              <w:pStyle w:val="11"/>
            </w:pPr>
            <w:r>
              <w:t>17.96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7.65</w:t>
            </w:r>
          </w:p>
        </w:tc>
        <w:tc>
          <w:tcPr>
            <w:tcW w:w="1474" w:type="dxa"/>
            <w:vAlign w:val="center"/>
          </w:tcPr>
          <w:p>
            <w:pPr>
              <w:pStyle w:val="11"/>
            </w:pPr>
            <w:r>
              <w:t>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14.94</w:t>
            </w:r>
          </w:p>
        </w:tc>
        <w:tc>
          <w:tcPr>
            <w:tcW w:w="1474" w:type="dxa"/>
            <w:vAlign w:val="center"/>
          </w:tcPr>
          <w:p>
            <w:pPr>
              <w:pStyle w:val="11"/>
            </w:pPr>
            <w:r>
              <w:t>14.94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967.01</w:t>
            </w:r>
          </w:p>
        </w:tc>
        <w:tc>
          <w:tcPr>
            <w:tcW w:w="3402" w:type="dxa"/>
            <w:vAlign w:val="center"/>
          </w:tcPr>
          <w:p>
            <w:pPr>
              <w:pStyle w:val="14"/>
            </w:pPr>
            <w:r>
              <w:t>本年支出合计</w:t>
            </w:r>
          </w:p>
        </w:tc>
        <w:tc>
          <w:tcPr>
            <w:tcW w:w="1474" w:type="dxa"/>
            <w:vAlign w:val="center"/>
          </w:tcPr>
          <w:p>
            <w:pPr>
              <w:pStyle w:val="15"/>
            </w:pPr>
            <w:r>
              <w:t>967.01</w:t>
            </w:r>
          </w:p>
        </w:tc>
        <w:tc>
          <w:tcPr>
            <w:tcW w:w="1474" w:type="dxa"/>
            <w:vAlign w:val="center"/>
          </w:tcPr>
          <w:p>
            <w:pPr>
              <w:pStyle w:val="15"/>
            </w:pPr>
            <w:r>
              <w:t>967.01</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967.01</w:t>
            </w:r>
          </w:p>
        </w:tc>
        <w:tc>
          <w:tcPr>
            <w:tcW w:w="3402" w:type="dxa"/>
            <w:vAlign w:val="center"/>
          </w:tcPr>
          <w:p>
            <w:pPr>
              <w:pStyle w:val="14"/>
            </w:pPr>
            <w:r>
              <w:t>支出总计</w:t>
            </w:r>
          </w:p>
        </w:tc>
        <w:tc>
          <w:tcPr>
            <w:tcW w:w="1474" w:type="dxa"/>
            <w:vAlign w:val="center"/>
          </w:tcPr>
          <w:p>
            <w:pPr>
              <w:pStyle w:val="15"/>
            </w:pPr>
            <w:r>
              <w:t>967.01</w:t>
            </w:r>
          </w:p>
        </w:tc>
        <w:tc>
          <w:tcPr>
            <w:tcW w:w="1474" w:type="dxa"/>
            <w:vAlign w:val="center"/>
          </w:tcPr>
          <w:p>
            <w:pPr>
              <w:pStyle w:val="15"/>
            </w:pPr>
            <w:r>
              <w:t>967.01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967.01</w:t>
            </w:r>
          </w:p>
        </w:tc>
        <w:tc>
          <w:tcPr>
            <w:tcW w:w="2551" w:type="dxa"/>
            <w:vAlign w:val="center"/>
          </w:tcPr>
          <w:p>
            <w:pPr>
              <w:pStyle w:val="15"/>
            </w:pPr>
            <w:r>
              <w:t>330.52</w:t>
            </w:r>
          </w:p>
        </w:tc>
        <w:tc>
          <w:tcPr>
            <w:tcW w:w="2551" w:type="dxa"/>
            <w:vAlign w:val="center"/>
          </w:tcPr>
          <w:p>
            <w:pPr>
              <w:pStyle w:val="15"/>
            </w:pPr>
            <w:r>
              <w:t>636.49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926.46</w:t>
            </w:r>
          </w:p>
        </w:tc>
        <w:tc>
          <w:tcPr>
            <w:tcW w:w="2551" w:type="dxa"/>
            <w:vAlign w:val="center"/>
          </w:tcPr>
          <w:p>
            <w:pPr>
              <w:pStyle w:val="11"/>
            </w:pPr>
            <w:r>
              <w:t>289.97</w:t>
            </w:r>
          </w:p>
        </w:tc>
        <w:tc>
          <w:tcPr>
            <w:tcW w:w="2551" w:type="dxa"/>
            <w:vAlign w:val="center"/>
          </w:tcPr>
          <w:p>
            <w:pPr>
              <w:pStyle w:val="11"/>
            </w:pPr>
            <w:r>
              <w:t>636.49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926.46</w:t>
            </w:r>
          </w:p>
        </w:tc>
        <w:tc>
          <w:tcPr>
            <w:tcW w:w="2551" w:type="dxa"/>
            <w:vAlign w:val="center"/>
          </w:tcPr>
          <w:p>
            <w:pPr>
              <w:pStyle w:val="11"/>
            </w:pPr>
            <w:r>
              <w:t>289.97</w:t>
            </w:r>
          </w:p>
        </w:tc>
        <w:tc>
          <w:tcPr>
            <w:tcW w:w="2551" w:type="dxa"/>
            <w:vAlign w:val="center"/>
          </w:tcPr>
          <w:p>
            <w:pPr>
              <w:pStyle w:val="11"/>
            </w:pPr>
            <w:r>
              <w:t>636.49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289.97</w:t>
            </w:r>
          </w:p>
        </w:tc>
        <w:tc>
          <w:tcPr>
            <w:tcW w:w="2551" w:type="dxa"/>
            <w:vAlign w:val="center"/>
          </w:tcPr>
          <w:p>
            <w:pPr>
              <w:pStyle w:val="11"/>
            </w:pPr>
            <w:r>
              <w:t>289.97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636.49</w:t>
            </w:r>
          </w:p>
        </w:tc>
        <w:tc>
          <w:tcPr>
            <w:tcW w:w="2551" w:type="dxa"/>
            <w:vAlign w:val="center"/>
          </w:tcPr>
          <w:p>
            <w:pPr>
              <w:pStyle w:val="11"/>
            </w:pPr>
          </w:p>
        </w:tc>
        <w:tc>
          <w:tcPr>
            <w:tcW w:w="2551" w:type="dxa"/>
            <w:vAlign w:val="center"/>
          </w:tcPr>
          <w:p>
            <w:pPr>
              <w:pStyle w:val="11"/>
            </w:pPr>
            <w:r>
              <w:t>636.49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14.94</w:t>
            </w:r>
          </w:p>
        </w:tc>
        <w:tc>
          <w:tcPr>
            <w:tcW w:w="2551" w:type="dxa"/>
            <w:vAlign w:val="center"/>
          </w:tcPr>
          <w:p>
            <w:pPr>
              <w:pStyle w:val="11"/>
            </w:pPr>
            <w:r>
              <w:t>14.94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14.94</w:t>
            </w:r>
          </w:p>
        </w:tc>
        <w:tc>
          <w:tcPr>
            <w:tcW w:w="2551" w:type="dxa"/>
            <w:vAlign w:val="center"/>
          </w:tcPr>
          <w:p>
            <w:pPr>
              <w:pStyle w:val="11"/>
            </w:pPr>
            <w:r>
              <w:t>14.94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14.94</w:t>
            </w:r>
          </w:p>
        </w:tc>
        <w:tc>
          <w:tcPr>
            <w:tcW w:w="2551" w:type="dxa"/>
            <w:vAlign w:val="center"/>
          </w:tcPr>
          <w:p>
            <w:pPr>
              <w:pStyle w:val="11"/>
            </w:pPr>
            <w:r>
              <w:t>14.94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330.52</w:t>
            </w:r>
          </w:p>
        </w:tc>
        <w:tc>
          <w:tcPr>
            <w:tcW w:w="2551" w:type="dxa"/>
            <w:vAlign w:val="center"/>
          </w:tcPr>
          <w:p>
            <w:pPr>
              <w:pStyle w:val="15"/>
            </w:pPr>
            <w:r>
              <w:t>315.57</w:t>
            </w:r>
          </w:p>
        </w:tc>
        <w:tc>
          <w:tcPr>
            <w:tcW w:w="2551" w:type="dxa"/>
            <w:vAlign w:val="center"/>
          </w:tcPr>
          <w:p>
            <w:pPr>
              <w:pStyle w:val="15"/>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301.98</w:t>
            </w:r>
          </w:p>
        </w:tc>
        <w:tc>
          <w:tcPr>
            <w:tcW w:w="2551" w:type="dxa"/>
            <w:vAlign w:val="center"/>
          </w:tcPr>
          <w:p>
            <w:pPr>
              <w:pStyle w:val="11"/>
            </w:pPr>
            <w:r>
              <w:t>301.98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190.13</w:t>
            </w:r>
          </w:p>
        </w:tc>
        <w:tc>
          <w:tcPr>
            <w:tcW w:w="2551" w:type="dxa"/>
            <w:vAlign w:val="center"/>
          </w:tcPr>
          <w:p>
            <w:pPr>
              <w:pStyle w:val="11"/>
            </w:pPr>
            <w:r>
              <w:t>190.13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39.99</w:t>
            </w:r>
          </w:p>
        </w:tc>
        <w:tc>
          <w:tcPr>
            <w:tcW w:w="2551" w:type="dxa"/>
            <w:vAlign w:val="center"/>
          </w:tcPr>
          <w:p>
            <w:pPr>
              <w:pStyle w:val="11"/>
            </w:pPr>
            <w:r>
              <w:t>39.99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16.70</w:t>
            </w:r>
          </w:p>
        </w:tc>
        <w:tc>
          <w:tcPr>
            <w:tcW w:w="2551" w:type="dxa"/>
            <w:vAlign w:val="center"/>
          </w:tcPr>
          <w:p>
            <w:pPr>
              <w:pStyle w:val="11"/>
            </w:pPr>
            <w:r>
              <w:t>16.70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14.94</w:t>
            </w:r>
          </w:p>
        </w:tc>
        <w:tc>
          <w:tcPr>
            <w:tcW w:w="2551" w:type="dxa"/>
            <w:vAlign w:val="center"/>
          </w:tcPr>
          <w:p>
            <w:pPr>
              <w:pStyle w:val="11"/>
            </w:pPr>
            <w:r>
              <w:t>14.94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14.95</w:t>
            </w:r>
          </w:p>
        </w:tc>
        <w:tc>
          <w:tcPr>
            <w:tcW w:w="2551" w:type="dxa"/>
            <w:vAlign w:val="center"/>
          </w:tcPr>
          <w:p>
            <w:pPr>
              <w:pStyle w:val="11"/>
            </w:pPr>
          </w:p>
        </w:tc>
        <w:tc>
          <w:tcPr>
            <w:tcW w:w="2551" w:type="dxa"/>
            <w:vAlign w:val="center"/>
          </w:tcPr>
          <w:p>
            <w:pPr>
              <w:pStyle w:val="11"/>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7.56</w:t>
            </w:r>
          </w:p>
        </w:tc>
        <w:tc>
          <w:tcPr>
            <w:tcW w:w="2551" w:type="dxa"/>
            <w:vAlign w:val="center"/>
          </w:tcPr>
          <w:p>
            <w:pPr>
              <w:pStyle w:val="11"/>
            </w:pPr>
          </w:p>
        </w:tc>
        <w:tc>
          <w:tcPr>
            <w:tcW w:w="2551" w:type="dxa"/>
            <w:vAlign w:val="center"/>
          </w:tcPr>
          <w:p>
            <w:pPr>
              <w:pStyle w:val="11"/>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17"/>
      </w:pPr>
      <w:r>
        <w:t>2.对全市政法工作研究提出全局性部署，推进平安沙河、法治沙河建设，加强过硬队伍建设，深化智能化建设，坚决维护国家政治安全，确保社会大局稳定、促进社会公平正义、保障人民安居乐业。</w:t>
      </w:r>
    </w:p>
    <w:p>
      <w:pPr>
        <w:pStyle w:val="17"/>
      </w:pPr>
      <w:r>
        <w:t>3.了解掌握和分析研判政法工作情况动态，分析社会稳定形势，创新完善多部门参与的综治维稳工作机制，协调推动预防、化解影响稳定的社会矛盾和风险，协调应对和处置重大突发事件。</w:t>
      </w:r>
    </w:p>
    <w:p>
      <w:pPr>
        <w:pStyle w:val="17"/>
      </w:pPr>
      <w:r>
        <w:t>4.加强对政法工作的督查，统筹协调社会治安综合治理、维护社会稳定、反邪教有关法律法规政策的实施工作。</w:t>
      </w:r>
    </w:p>
    <w:p>
      <w:pPr>
        <w:pStyle w:val="17"/>
      </w:pPr>
      <w:r>
        <w:t>5.组织开展政法领域的调查</w:t>
      </w:r>
      <w:r>
        <w:rPr>
          <w:rFonts w:hint="eastAsia"/>
          <w:lang w:val="en-US" w:eastAsia="zh-CN"/>
        </w:rPr>
        <w:t>研</w:t>
      </w:r>
      <w:r>
        <w:t>究，研究拟订政法工作的重大措施，及时向市委提出建议。</w:t>
      </w:r>
    </w:p>
    <w:p>
      <w:pPr>
        <w:pStyle w:val="17"/>
      </w:pPr>
      <w:r>
        <w:t>6.掌握分析政法舆情动态，指导协调政法单位媒体网络宣传工作，指导政法单位做好涉及政法工作的重大宣传工作。</w:t>
      </w:r>
    </w:p>
    <w:p>
      <w:pPr>
        <w:pStyle w:val="17"/>
      </w:pPr>
      <w:r>
        <w:t>7.监督和支持政法单位依法行使职权，指导和协调政法单位密切配合，研究和协调重大、疑难案件，指导政法单位涉法涉诉信访工作，推进严格执法、公正司法。</w:t>
      </w:r>
    </w:p>
    <w:p>
      <w:pPr>
        <w:pStyle w:val="17"/>
      </w:pPr>
      <w:r>
        <w:t>8.组织研究政法改革中带有方向性、倾向性和普遍性的重大问题，深化政法改革，联系市委全面依法治市委员会办公室。</w:t>
      </w:r>
    </w:p>
    <w:p>
      <w:pPr>
        <w:pStyle w:val="17"/>
      </w:pPr>
      <w:r>
        <w:t>9.指导推动政法系统党的建设和政法队伍建设，协调和指导全市见义勇为工作，代管市法学会。</w:t>
      </w:r>
    </w:p>
    <w:p>
      <w:pPr>
        <w:pStyle w:val="17"/>
      </w:pPr>
      <w:r>
        <w:t>10.统筹推动全市政法系统信息化工作，指导政法智能化建设。</w:t>
      </w:r>
    </w:p>
    <w:p>
      <w:pPr>
        <w:pStyle w:val="17"/>
      </w:pPr>
      <w:r>
        <w:t>11.完成邢台市委政法委员会和沙河市委交办的其他任务。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中共沙河市委政法委员会本级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967.01万元，其中：一般公共预算收入967.01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沙河市委政法委员会本级年度单位预算中支出预算的总体情况。2024年支出预算967.01万元，其中基本支出330.52万元，包括人员经费315.57万元和日常公用经费14.95万元；项目支出636.49万元，主要为社会治安综合治理经费46万元，精神病患者责任险19.93万元，扫黑除恶经费20万元，综治中心专职工作人员及全市网格员补贴550.56万元。</w:t>
      </w:r>
    </w:p>
    <w:p>
      <w:pPr>
        <w:pStyle w:val="18"/>
      </w:pPr>
      <w:r>
        <w:t>3、比上年增减情况</w:t>
      </w:r>
    </w:p>
    <w:p>
      <w:pPr>
        <w:pStyle w:val="18"/>
      </w:pPr>
      <w:r>
        <w:t>2024年预算收支安排967.01万元，较2023年预算减少73.52万元，其中：基本支出减少84.61万元，主要为人员减少，相应经费支出减少。项目支出增加11.09万元，主要为综治中心专职工作人员及全市网格员补贴项目支出减少，增加扫黑除恶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default" w:eastAsia="方正仿宋_GBK"/>
          <w:lang w:val="en-US" w:eastAsia="zh-CN"/>
        </w:rPr>
      </w:pPr>
      <w:r>
        <w:rPr>
          <w:rFonts w:hint="eastAsia"/>
          <w:lang w:val="en-US" w:eastAsia="zh-CN"/>
        </w:rPr>
        <w:t>2024年，我单位机关运行经费共计安排14.95万元，主要用于</w:t>
      </w:r>
      <w:r>
        <w:t>办公费、邮电费、办公取暖费、培训费、工会经费、福利费、其他交通费用等日常运转支出。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减少4.00万元，增减变化的主要原因是我单位2024年按照沙河市公务用车制度改革领导小组办公室《关于进一步做好公务用车集中统一管理》的通知（沙车改办[2023]21号）文件要求，将两辆车调剂到机关后勤服务中心，资产归机关后勤服务中心所有。因此不</w:t>
      </w:r>
      <w:r>
        <w:rPr>
          <w:rFonts w:hint="eastAsia"/>
          <w:lang w:val="en-US" w:eastAsia="zh-CN"/>
        </w:rPr>
        <w:t>再</w:t>
      </w:r>
      <w:bookmarkStart w:id="1" w:name="_GoBack"/>
      <w:bookmarkEnd w:id="1"/>
      <w:r>
        <w:t>编制2024年度公务用车运维费。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1、精神病患者责任险绩效目标表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13058224P00316C100043</w:t>
            </w:r>
          </w:p>
        </w:tc>
        <w:tc>
          <w:tcPr>
            <w:tcW w:w="2835" w:type="dxa"/>
            <w:vAlign w:val="center"/>
          </w:tcPr>
          <w:p>
            <w:pPr>
              <w:pStyle w:val="10"/>
            </w:pPr>
            <w:r>
              <w:t>项目名称</w:t>
            </w:r>
          </w:p>
        </w:tc>
        <w:tc>
          <w:tcPr>
            <w:tcW w:w="6094" w:type="dxa"/>
            <w:gridSpan w:val="3"/>
            <w:vAlign w:val="center"/>
          </w:tcPr>
          <w:p>
            <w:pPr>
              <w:pStyle w:val="12"/>
            </w:pPr>
            <w:r>
              <w:t>精神病患者责任险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19.93</w:t>
            </w:r>
          </w:p>
        </w:tc>
        <w:tc>
          <w:tcPr>
            <w:tcW w:w="2835" w:type="dxa"/>
            <w:vAlign w:val="center"/>
          </w:tcPr>
          <w:p>
            <w:pPr>
              <w:pStyle w:val="10"/>
            </w:pPr>
            <w:r>
              <w:t>其中：财政    资金</w:t>
            </w:r>
          </w:p>
        </w:tc>
        <w:tc>
          <w:tcPr>
            <w:tcW w:w="2551" w:type="dxa"/>
            <w:vAlign w:val="center"/>
          </w:tcPr>
          <w:p>
            <w:pPr>
              <w:pStyle w:val="12"/>
            </w:pPr>
            <w:r>
              <w:t>19.93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用于精神障碍患者购买责任险以及重症患者以奖代补资金支出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4.98</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19.93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1.为全市精神障碍患者购买保险，减少由患者造成的人身伤亡、财产损失。</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入保人数</w:t>
            </w:r>
          </w:p>
        </w:tc>
        <w:tc>
          <w:tcPr>
            <w:tcW w:w="5386" w:type="dxa"/>
            <w:vAlign w:val="center"/>
          </w:tcPr>
          <w:p>
            <w:pPr>
              <w:pStyle w:val="12"/>
            </w:pPr>
            <w:r>
              <w:t>精神障碍患者入保人数</w:t>
            </w:r>
          </w:p>
        </w:tc>
        <w:tc>
          <w:tcPr>
            <w:tcW w:w="2268" w:type="dxa"/>
            <w:vAlign w:val="center"/>
          </w:tcPr>
          <w:p>
            <w:pPr>
              <w:pStyle w:val="12"/>
            </w:pPr>
            <w:r>
              <w:t>≤1897人</w:t>
            </w:r>
          </w:p>
        </w:tc>
        <w:tc>
          <w:tcPr>
            <w:tcW w:w="1276" w:type="dxa"/>
            <w:vAlign w:val="center"/>
          </w:tcPr>
          <w:p>
            <w:pPr>
              <w:pStyle w:val="12"/>
            </w:pPr>
            <w:r>
              <w:t>根据登记在册管理人员名单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入保人数所占比例</w:t>
            </w:r>
          </w:p>
        </w:tc>
        <w:tc>
          <w:tcPr>
            <w:tcW w:w="5386" w:type="dxa"/>
            <w:vAlign w:val="center"/>
          </w:tcPr>
          <w:p>
            <w:pPr>
              <w:pStyle w:val="12"/>
            </w:pPr>
            <w:r>
              <w:t>入保人数所占比例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按时完成投保</w:t>
            </w:r>
          </w:p>
        </w:tc>
        <w:tc>
          <w:tcPr>
            <w:tcW w:w="5386" w:type="dxa"/>
            <w:vAlign w:val="center"/>
          </w:tcPr>
          <w:p>
            <w:pPr>
              <w:pStyle w:val="12"/>
            </w:pPr>
            <w:r>
              <w:t>按时完成投保</w:t>
            </w:r>
          </w:p>
        </w:tc>
        <w:tc>
          <w:tcPr>
            <w:tcW w:w="2268" w:type="dxa"/>
            <w:vAlign w:val="center"/>
          </w:tcPr>
          <w:p>
            <w:pPr>
              <w:pStyle w:val="12"/>
            </w:pPr>
            <w:r>
              <w:t>≤12月</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参保标准/人</w:t>
            </w:r>
          </w:p>
        </w:tc>
        <w:tc>
          <w:tcPr>
            <w:tcW w:w="2268" w:type="dxa"/>
            <w:vAlign w:val="center"/>
          </w:tcPr>
          <w:p>
            <w:pPr>
              <w:pStyle w:val="12"/>
            </w:pPr>
            <w:r>
              <w:t>100元</w:t>
            </w:r>
          </w:p>
        </w:tc>
        <w:tc>
          <w:tcPr>
            <w:tcW w:w="1276" w:type="dxa"/>
            <w:vAlign w:val="center"/>
          </w:tcPr>
          <w:p>
            <w:pPr>
              <w:pStyle w:val="12"/>
            </w:pPr>
            <w:r>
              <w:t>保险标准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减少由患者造成的损失</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受害群体满意度</w:t>
            </w:r>
          </w:p>
        </w:tc>
        <w:tc>
          <w:tcPr>
            <w:tcW w:w="5386" w:type="dxa"/>
            <w:vAlign w:val="center"/>
          </w:tcPr>
          <w:p>
            <w:pPr>
              <w:pStyle w:val="12"/>
            </w:pPr>
            <w:r>
              <w:t>受害群体满意度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2、扫黑除恶经费绩效目标表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13058224P00906C100037</w:t>
            </w:r>
          </w:p>
        </w:tc>
        <w:tc>
          <w:tcPr>
            <w:tcW w:w="2835" w:type="dxa"/>
            <w:vAlign w:val="center"/>
          </w:tcPr>
          <w:p>
            <w:pPr>
              <w:pStyle w:val="10"/>
            </w:pPr>
            <w:r>
              <w:t>项目名称</w:t>
            </w:r>
          </w:p>
        </w:tc>
        <w:tc>
          <w:tcPr>
            <w:tcW w:w="6094" w:type="dxa"/>
            <w:gridSpan w:val="3"/>
            <w:vAlign w:val="center"/>
          </w:tcPr>
          <w:p>
            <w:pPr>
              <w:pStyle w:val="12"/>
            </w:pPr>
            <w:r>
              <w:t>扫黑除恶经费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用于扫黑除恶工作日常经费支出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1.常态化开展扫黑除恶工作，提升群众安全感。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印刷扫黑除恶工作等宣传页</w:t>
            </w:r>
          </w:p>
        </w:tc>
        <w:tc>
          <w:tcPr>
            <w:tcW w:w="2268" w:type="dxa"/>
            <w:vAlign w:val="center"/>
          </w:tcPr>
          <w:p>
            <w:pPr>
              <w:pStyle w:val="12"/>
            </w:pPr>
            <w:r>
              <w:t>≥10000页</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w:t>
            </w:r>
          </w:p>
        </w:tc>
        <w:tc>
          <w:tcPr>
            <w:tcW w:w="5386" w:type="dxa"/>
            <w:vAlign w:val="center"/>
          </w:tcPr>
          <w:p>
            <w:pPr>
              <w:pStyle w:val="12"/>
            </w:pPr>
            <w:r>
              <w:t>扫黑除恶日产工作完成率</w:t>
            </w:r>
          </w:p>
        </w:tc>
        <w:tc>
          <w:tcPr>
            <w:tcW w:w="2268" w:type="dxa"/>
            <w:vAlign w:val="center"/>
          </w:tcPr>
          <w:p>
            <w:pPr>
              <w:pStyle w:val="12"/>
            </w:pPr>
            <w:r>
              <w:t>≥98%</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支出时效</w:t>
            </w:r>
          </w:p>
        </w:tc>
        <w:tc>
          <w:tcPr>
            <w:tcW w:w="5386" w:type="dxa"/>
            <w:vAlign w:val="center"/>
          </w:tcPr>
          <w:p>
            <w:pPr>
              <w:pStyle w:val="12"/>
            </w:pPr>
            <w:r>
              <w:t>扫黑除恶专项经费支出完成时间</w:t>
            </w:r>
          </w:p>
        </w:tc>
        <w:tc>
          <w:tcPr>
            <w:tcW w:w="2268" w:type="dxa"/>
            <w:vAlign w:val="center"/>
          </w:tcPr>
          <w:p>
            <w:pPr>
              <w:pStyle w:val="12"/>
            </w:pPr>
            <w:r>
              <w:t>12月底前</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3、社会治安综合治理经费绩效目标表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13058224P005C7410005T</w:t>
            </w:r>
          </w:p>
        </w:tc>
        <w:tc>
          <w:tcPr>
            <w:tcW w:w="2835" w:type="dxa"/>
            <w:vAlign w:val="center"/>
          </w:tcPr>
          <w:p>
            <w:pPr>
              <w:pStyle w:val="10"/>
            </w:pPr>
            <w:r>
              <w:t>项目名称</w:t>
            </w:r>
          </w:p>
        </w:tc>
        <w:tc>
          <w:tcPr>
            <w:tcW w:w="6094" w:type="dxa"/>
            <w:gridSpan w:val="3"/>
            <w:vAlign w:val="center"/>
          </w:tcPr>
          <w:p>
            <w:pPr>
              <w:pStyle w:val="12"/>
            </w:pPr>
            <w:r>
              <w:t>社会治安综合治理经费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w:t>
            </w:r>
          </w:p>
        </w:tc>
        <w:tc>
          <w:tcPr>
            <w:tcW w:w="2835" w:type="dxa"/>
            <w:vAlign w:val="center"/>
          </w:tcPr>
          <w:p>
            <w:pPr>
              <w:pStyle w:val="10"/>
            </w:pPr>
            <w:r>
              <w:t>其中：财政    资金</w:t>
            </w:r>
          </w:p>
        </w:tc>
        <w:tc>
          <w:tcPr>
            <w:tcW w:w="2551" w:type="dxa"/>
            <w:vAlign w:val="center"/>
          </w:tcPr>
          <w:p>
            <w:pPr>
              <w:pStyle w:val="12"/>
            </w:pPr>
            <w:r>
              <w:t>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用于综治工作日常经费支出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36.00</w:t>
            </w:r>
          </w:p>
        </w:tc>
        <w:tc>
          <w:tcPr>
            <w:tcW w:w="3543" w:type="dxa"/>
            <w:gridSpan w:val="2"/>
            <w:vAlign w:val="center"/>
          </w:tcPr>
          <w:p>
            <w:pPr>
              <w:pStyle w:val="13"/>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1.做好矛盾纠纷排调和风险隐患防控工作，深化重点人群服务管理，深化平安铁路建设，确保市内铁路沿线治安秩序稳定。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巡查次数</w:t>
            </w:r>
          </w:p>
        </w:tc>
        <w:tc>
          <w:tcPr>
            <w:tcW w:w="5386" w:type="dxa"/>
            <w:vAlign w:val="center"/>
          </w:tcPr>
          <w:p>
            <w:pPr>
              <w:pStyle w:val="12"/>
            </w:pPr>
            <w:r>
              <w:t>护路队员铁路巡查次数</w:t>
            </w:r>
          </w:p>
        </w:tc>
        <w:tc>
          <w:tcPr>
            <w:tcW w:w="2268" w:type="dxa"/>
            <w:vAlign w:val="center"/>
          </w:tcPr>
          <w:p>
            <w:pPr>
              <w:pStyle w:val="12"/>
            </w:pPr>
            <w:r>
              <w:t>≥200人次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工作覆盖率</w:t>
            </w:r>
          </w:p>
        </w:tc>
        <w:tc>
          <w:tcPr>
            <w:tcW w:w="5386" w:type="dxa"/>
            <w:vAlign w:val="center"/>
          </w:tcPr>
          <w:p>
            <w:pPr>
              <w:pStyle w:val="12"/>
            </w:pPr>
            <w:r>
              <w:t>综治工作考核覆盖率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按时高效完成综治工作</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全年综治工作经费</w:t>
            </w:r>
          </w:p>
        </w:tc>
        <w:tc>
          <w:tcPr>
            <w:tcW w:w="2268" w:type="dxa"/>
            <w:vAlign w:val="center"/>
          </w:tcPr>
          <w:p>
            <w:pPr>
              <w:pStyle w:val="12"/>
            </w:pPr>
            <w:r>
              <w:t>≤46万元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4、综治中心专职工作人员及全市网格员补贴绩效目标表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13058224P00CF9910005Y</w:t>
            </w:r>
          </w:p>
        </w:tc>
        <w:tc>
          <w:tcPr>
            <w:tcW w:w="2835" w:type="dxa"/>
            <w:vAlign w:val="center"/>
          </w:tcPr>
          <w:p>
            <w:pPr>
              <w:pStyle w:val="10"/>
            </w:pPr>
            <w:r>
              <w:t>项目名称</w:t>
            </w:r>
          </w:p>
        </w:tc>
        <w:tc>
          <w:tcPr>
            <w:tcW w:w="6094" w:type="dxa"/>
            <w:gridSpan w:val="3"/>
            <w:vAlign w:val="center"/>
          </w:tcPr>
          <w:p>
            <w:pPr>
              <w:pStyle w:val="12"/>
            </w:pPr>
            <w:r>
              <w:t>综治中心专职工作人员及全市网格员补贴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550.56</w:t>
            </w:r>
          </w:p>
        </w:tc>
        <w:tc>
          <w:tcPr>
            <w:tcW w:w="2835" w:type="dxa"/>
            <w:vAlign w:val="center"/>
          </w:tcPr>
          <w:p>
            <w:pPr>
              <w:pStyle w:val="10"/>
            </w:pPr>
            <w:r>
              <w:t>其中：财政    资金</w:t>
            </w:r>
          </w:p>
        </w:tc>
        <w:tc>
          <w:tcPr>
            <w:tcW w:w="2551" w:type="dxa"/>
            <w:vAlign w:val="center"/>
          </w:tcPr>
          <w:p>
            <w:pPr>
              <w:pStyle w:val="12"/>
            </w:pPr>
            <w:r>
              <w:t>550.56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用于网格员补助支出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137.64</w:t>
            </w:r>
          </w:p>
        </w:tc>
        <w:tc>
          <w:tcPr>
            <w:tcW w:w="2835" w:type="dxa"/>
            <w:vAlign w:val="center"/>
          </w:tcPr>
          <w:p>
            <w:pPr>
              <w:pStyle w:val="13"/>
            </w:pPr>
            <w:r>
              <w:t>275.28</w:t>
            </w:r>
          </w:p>
        </w:tc>
        <w:tc>
          <w:tcPr>
            <w:tcW w:w="2551" w:type="dxa"/>
            <w:vAlign w:val="center"/>
          </w:tcPr>
          <w:p>
            <w:pPr>
              <w:pStyle w:val="13"/>
            </w:pPr>
            <w:r>
              <w:t>412.92</w:t>
            </w:r>
          </w:p>
        </w:tc>
        <w:tc>
          <w:tcPr>
            <w:tcW w:w="3543" w:type="dxa"/>
            <w:gridSpan w:val="2"/>
            <w:vAlign w:val="center"/>
          </w:tcPr>
          <w:p>
            <w:pPr>
              <w:pStyle w:val="13"/>
            </w:pPr>
            <w:r>
              <w:t>550.56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1.及时发现各种苗头，将各种问题消化在基层，消灭在萌芽状态，及时反映群众诉求，维护群众合法权益。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上报问题数量</w:t>
            </w:r>
          </w:p>
        </w:tc>
        <w:tc>
          <w:tcPr>
            <w:tcW w:w="5386" w:type="dxa"/>
            <w:vAlign w:val="center"/>
          </w:tcPr>
          <w:p>
            <w:pPr>
              <w:pStyle w:val="12"/>
            </w:pPr>
            <w:r>
              <w:t>上报问题数量</w:t>
            </w:r>
          </w:p>
        </w:tc>
        <w:tc>
          <w:tcPr>
            <w:tcW w:w="2268" w:type="dxa"/>
            <w:vAlign w:val="center"/>
          </w:tcPr>
          <w:p>
            <w:pPr>
              <w:pStyle w:val="12"/>
            </w:pPr>
            <w:r>
              <w:t>≥100000条</w:t>
            </w:r>
          </w:p>
        </w:tc>
        <w:tc>
          <w:tcPr>
            <w:tcW w:w="1276" w:type="dxa"/>
            <w:vAlign w:val="center"/>
          </w:tcPr>
          <w:p>
            <w:pPr>
              <w:pStyle w:val="12"/>
            </w:pPr>
            <w:r>
              <w:t>根据年终考核结果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网格上报信息合格率</w:t>
            </w:r>
          </w:p>
        </w:tc>
        <w:tc>
          <w:tcPr>
            <w:tcW w:w="5386" w:type="dxa"/>
            <w:vAlign w:val="center"/>
          </w:tcPr>
          <w:p>
            <w:pPr>
              <w:pStyle w:val="12"/>
            </w:pPr>
            <w:r>
              <w:t>网格上报信息合格率</w:t>
            </w:r>
          </w:p>
        </w:tc>
        <w:tc>
          <w:tcPr>
            <w:tcW w:w="2268" w:type="dxa"/>
            <w:vAlign w:val="center"/>
          </w:tcPr>
          <w:p>
            <w:pPr>
              <w:pStyle w:val="12"/>
            </w:pPr>
            <w:r>
              <w:t>≥95%</w:t>
            </w:r>
          </w:p>
        </w:tc>
        <w:tc>
          <w:tcPr>
            <w:tcW w:w="1276" w:type="dxa"/>
            <w:vAlign w:val="center"/>
          </w:tcPr>
          <w:p>
            <w:pPr>
              <w:pStyle w:val="12"/>
            </w:pPr>
            <w:r>
              <w:t>沙办字〔2021〕7号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网格上报问题限期办结率</w:t>
            </w:r>
          </w:p>
        </w:tc>
        <w:tc>
          <w:tcPr>
            <w:tcW w:w="5386" w:type="dxa"/>
            <w:vAlign w:val="center"/>
          </w:tcPr>
          <w:p>
            <w:pPr>
              <w:pStyle w:val="12"/>
            </w:pPr>
            <w:r>
              <w:t>网格上报问题限期办结率</w:t>
            </w:r>
          </w:p>
        </w:tc>
        <w:tc>
          <w:tcPr>
            <w:tcW w:w="2268" w:type="dxa"/>
            <w:vAlign w:val="center"/>
          </w:tcPr>
          <w:p>
            <w:pPr>
              <w:pStyle w:val="12"/>
            </w:pPr>
            <w:r>
              <w:t>≥95%</w:t>
            </w:r>
          </w:p>
        </w:tc>
        <w:tc>
          <w:tcPr>
            <w:tcW w:w="1276" w:type="dxa"/>
            <w:vAlign w:val="center"/>
          </w:tcPr>
          <w:p>
            <w:pPr>
              <w:pStyle w:val="12"/>
            </w:pPr>
            <w:r>
              <w:t>沙办字〔2021〕7号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≤550.56万元</w:t>
            </w:r>
          </w:p>
        </w:tc>
        <w:tc>
          <w:tcPr>
            <w:tcW w:w="1276" w:type="dxa"/>
            <w:vAlign w:val="center"/>
          </w:tcPr>
          <w:p>
            <w:pPr>
              <w:pStyle w:val="12"/>
            </w:pPr>
            <w:r>
              <w:t>根据网格员数量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实现“十无”网格的创建</w:t>
            </w:r>
          </w:p>
          <w:p>
            <w:pPr>
              <w:pStyle w:val="12"/>
            </w:pPr>
          </w:p>
        </w:tc>
        <w:tc>
          <w:tcPr>
            <w:tcW w:w="1276" w:type="dxa"/>
            <w:vAlign w:val="center"/>
          </w:tcPr>
          <w:p>
            <w:pPr>
              <w:pStyle w:val="12"/>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第三方测评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中共沙河市委政法委员会本级上年末固定资产金额为301.83万元（详见下表）。本年度拟购置固定资产总额为0.00万元，已按要求列入政府采购预算，详见政府采购预算表。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201001中共沙河市委政法委员会本级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514</w:t>
            </w:r>
          </w:p>
        </w:tc>
        <w:tc>
          <w:tcPr>
            <w:tcW w:w="2835" w:type="dxa"/>
            <w:vAlign w:val="center"/>
          </w:tcPr>
          <w:p>
            <w:pPr>
              <w:pStyle w:val="11"/>
            </w:pPr>
            <w:r>
              <w:t>277.33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4E30FE8"/>
    <w:rsid w:val="1174328C"/>
    <w:rsid w:val="1B041E6A"/>
    <w:rsid w:val="66EC0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2024-02-05T15:30:21Z</dcterms:created>
  <dcterms:modified xsi:type="dcterms:W3CDTF">2024-02-05T07:30:21Z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2024-02-05T15:30:22Z</dcterms:created>
  <dcterms:modified xsi:type="dcterms:W3CDTF">2024-02-05T07:30:22Z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2024-02-05T15:30:22Z</dcterms:created>
  <dcterms:modified xsi:type="dcterms:W3CDTF">2024-02-05T07:30:22Z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2024-02-05T15:30:16Z</dcterms:created>
  <dcterms:modified xsi:type="dcterms:W3CDTF">2024-02-05T07:30:16Z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2024-02-05T15:30:21Z</dcterms:created>
  <dcterms:modified xsi:type="dcterms:W3CDTF">2024-02-05T07:30:21Z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2024-02-05T15:30:21Z</dcterms:created>
  <dcterms:modified xsi:type="dcterms:W3CDTF">2024-02-05T07:30:21Z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2024-02-05T15:30:20Z</dcterms:created>
  <dcterms:modified xsi:type="dcterms:W3CDTF">2024-02-05T07:30:19Z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fb3761-98e0-4fd2-85a4-c6e9650f6e00}">
  <ds:schemaRefs/>
</ds:datastoreItem>
</file>

<file path=customXml/itemProps10.xml><?xml version="1.0" encoding="utf-8"?>
<ds:datastoreItem xmlns:ds="http://schemas.openxmlformats.org/officeDocument/2006/customXml" ds:itemID="{76333707-9c7b-41b9-83c5-c0de0a0d12e1}">
  <ds:schemaRefs/>
</ds:datastoreItem>
</file>

<file path=customXml/itemProps11.xml><?xml version="1.0" encoding="utf-8"?>
<ds:datastoreItem xmlns:ds="http://schemas.openxmlformats.org/officeDocument/2006/customXml" ds:itemID="{db0b2b68-ec6f-449c-ba57-1692a7fc6105}">
  <ds:schemaRefs/>
</ds:datastoreItem>
</file>

<file path=customXml/itemProps12.xml><?xml version="1.0" encoding="utf-8"?>
<ds:datastoreItem xmlns:ds="http://schemas.openxmlformats.org/officeDocument/2006/customXml" ds:itemID="{84642536-c02b-4f66-bcb9-339fec56e070}">
  <ds:schemaRefs/>
</ds:datastoreItem>
</file>

<file path=customXml/itemProps13.xml><?xml version="1.0" encoding="utf-8"?>
<ds:datastoreItem xmlns:ds="http://schemas.openxmlformats.org/officeDocument/2006/customXml" ds:itemID="{457273b0-0013-4336-8554-d88b3e46f1e5}">
  <ds:schemaRefs/>
</ds:datastoreItem>
</file>

<file path=customXml/itemProps14.xml><?xml version="1.0" encoding="utf-8"?>
<ds:datastoreItem xmlns:ds="http://schemas.openxmlformats.org/officeDocument/2006/customXml" ds:itemID="{f70b5e0a-28fc-4324-89ff-488ec827ec91}">
  <ds:schemaRefs/>
</ds:datastoreItem>
</file>

<file path=customXml/itemProps2.xml><?xml version="1.0" encoding="utf-8"?>
<ds:datastoreItem xmlns:ds="http://schemas.openxmlformats.org/officeDocument/2006/customXml" ds:itemID="{673c88e9-9a8e-4b7d-bbae-66d1c064d8cd}">
  <ds:schemaRefs/>
</ds:datastoreItem>
</file>

<file path=customXml/itemProps3.xml><?xml version="1.0" encoding="utf-8"?>
<ds:datastoreItem xmlns:ds="http://schemas.openxmlformats.org/officeDocument/2006/customXml" ds:itemID="{4a9b4a96-03fe-4194-9259-65751349e98e}">
  <ds:schemaRefs/>
</ds:datastoreItem>
</file>

<file path=customXml/itemProps4.xml><?xml version="1.0" encoding="utf-8"?>
<ds:datastoreItem xmlns:ds="http://schemas.openxmlformats.org/officeDocument/2006/customXml" ds:itemID="{f142cc4e-a5e0-42b7-922e-c62d5dfbcc80}">
  <ds:schemaRefs/>
</ds:datastoreItem>
</file>

<file path=customXml/itemProps5.xml><?xml version="1.0" encoding="utf-8"?>
<ds:datastoreItem xmlns:ds="http://schemas.openxmlformats.org/officeDocument/2006/customXml" ds:itemID="{51582bb3-f065-458b-b3fc-1376d053fce5}">
  <ds:schemaRefs/>
</ds:datastoreItem>
</file>

<file path=customXml/itemProps6.xml><?xml version="1.0" encoding="utf-8"?>
<ds:datastoreItem xmlns:ds="http://schemas.openxmlformats.org/officeDocument/2006/customXml" ds:itemID="{2cfd9776-dbeb-42d1-9469-ffd5f92f3003}">
  <ds:schemaRefs/>
</ds:datastoreItem>
</file>

<file path=customXml/itemProps7.xml><?xml version="1.0" encoding="utf-8"?>
<ds:datastoreItem xmlns:ds="http://schemas.openxmlformats.org/officeDocument/2006/customXml" ds:itemID="{3539e5e2-f7f1-4931-9ba1-a37cafd58725}">
  <ds:schemaRefs/>
</ds:datastoreItem>
</file>

<file path=customXml/itemProps8.xml><?xml version="1.0" encoding="utf-8"?>
<ds:datastoreItem xmlns:ds="http://schemas.openxmlformats.org/officeDocument/2006/customXml" ds:itemID="{163df120-4074-485a-ad8b-9ba3d155eb2b}">
  <ds:schemaRefs/>
</ds:datastoreItem>
</file>

<file path=customXml/itemProps9.xml><?xml version="1.0" encoding="utf-8"?>
<ds:datastoreItem xmlns:ds="http://schemas.openxmlformats.org/officeDocument/2006/customXml" ds:itemID="{ae2b21aa-b252-4d01-9e27-2115c96a7404}">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2024-02-05T15:30:00Z</dcterms:created>
  <dc:creator>Administrator</dc:creator>
  <cp:lastModifiedBy>早开的晚霞。</cp:lastModifiedBy>
  <dcterms:modified xsi:type="dcterms:W3CDTF">2024-02-07T09:39:00Z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CD47172047214366AFC0964E0C6022FC_12</vt:lpwstr>
  </property>
</Properties>
</file>