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0C0D31">
      <w:pPr>
        <w:spacing w:line="480" w:lineRule="exact"/>
        <w:jc w:val="center"/>
        <w:rPr>
          <w:rFonts w:ascii="仿宋" w:hAnsi="仿宋" w:eastAsia="仿宋" w:cs="Times New Roman"/>
          <w:sz w:val="32"/>
          <w:szCs w:val="32"/>
        </w:rPr>
      </w:pPr>
      <w:r>
        <w:rPr>
          <w:rFonts w:hint="eastAsia" w:ascii="宋体" w:hAnsi="宋体" w:cs="宋体"/>
          <w:b/>
          <w:bCs/>
          <w:sz w:val="44"/>
          <w:szCs w:val="44"/>
        </w:rPr>
        <w:t>部门整体支出绩效评价</w:t>
      </w:r>
      <w:r>
        <w:rPr>
          <w:rFonts w:hint="eastAsia" w:ascii="宋体" w:hAnsi="宋体" w:cs="宋体"/>
          <w:b/>
          <w:bCs/>
          <w:color w:val="000000"/>
          <w:kern w:val="0"/>
          <w:sz w:val="44"/>
          <w:szCs w:val="44"/>
          <w:shd w:val="clear" w:color="auto" w:fill="FFFFFF"/>
        </w:rPr>
        <w:t>指标体系评分表</w:t>
      </w:r>
    </w:p>
    <w:tbl>
      <w:tblPr>
        <w:tblStyle w:val="8"/>
        <w:tblW w:w="9840"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5"/>
        <w:gridCol w:w="765"/>
        <w:gridCol w:w="990"/>
        <w:gridCol w:w="3975"/>
        <w:gridCol w:w="2550"/>
        <w:gridCol w:w="765"/>
      </w:tblGrid>
      <w:tr w14:paraId="0BAAD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95" w:type="dxa"/>
            <w:vMerge w:val="restart"/>
            <w:vAlign w:val="center"/>
          </w:tcPr>
          <w:p w14:paraId="4ADF50E7">
            <w:pPr>
              <w:widowControl/>
              <w:spacing w:line="240" w:lineRule="exact"/>
              <w:jc w:val="center"/>
              <w:rPr>
                <w:rFonts w:cs="Times New Roman"/>
                <w:b/>
                <w:bCs/>
              </w:rPr>
            </w:pPr>
            <w:r>
              <w:rPr>
                <w:rFonts w:hint="eastAsia" w:ascii="仿宋_GB2312" w:hAnsi="新宋体" w:eastAsia="仿宋_GB2312" w:cs="仿宋_GB2312"/>
                <w:b/>
                <w:bCs/>
                <w:kern w:val="0"/>
                <w:sz w:val="24"/>
                <w:szCs w:val="24"/>
              </w:rPr>
              <w:t>一级指标</w:t>
            </w:r>
          </w:p>
        </w:tc>
        <w:tc>
          <w:tcPr>
            <w:tcW w:w="765" w:type="dxa"/>
            <w:vMerge w:val="restart"/>
            <w:vAlign w:val="center"/>
          </w:tcPr>
          <w:p w14:paraId="50DD11C9">
            <w:pPr>
              <w:widowControl/>
              <w:spacing w:line="240" w:lineRule="exact"/>
              <w:jc w:val="center"/>
              <w:rPr>
                <w:rFonts w:cs="Times New Roman"/>
                <w:b/>
                <w:bCs/>
              </w:rPr>
            </w:pPr>
            <w:r>
              <w:rPr>
                <w:rFonts w:hint="eastAsia" w:ascii="仿宋_GB2312" w:hAnsi="新宋体" w:eastAsia="仿宋_GB2312" w:cs="仿宋_GB2312"/>
                <w:b/>
                <w:bCs/>
                <w:kern w:val="0"/>
                <w:sz w:val="24"/>
                <w:szCs w:val="24"/>
              </w:rPr>
              <w:t>二级指标</w:t>
            </w:r>
          </w:p>
        </w:tc>
        <w:tc>
          <w:tcPr>
            <w:tcW w:w="4965" w:type="dxa"/>
            <w:gridSpan w:val="2"/>
            <w:tcBorders>
              <w:right w:val="single" w:color="auto" w:sz="4" w:space="0"/>
            </w:tcBorders>
            <w:vAlign w:val="center"/>
          </w:tcPr>
          <w:p w14:paraId="2647B00E">
            <w:pPr>
              <w:widowControl/>
              <w:spacing w:line="240" w:lineRule="exact"/>
              <w:jc w:val="center"/>
              <w:rPr>
                <w:rFonts w:cs="Times New Roman"/>
                <w:b/>
                <w:bCs/>
              </w:rPr>
            </w:pPr>
            <w:r>
              <w:rPr>
                <w:rFonts w:hint="eastAsia" w:ascii="仿宋_GB2312" w:hAnsi="新宋体" w:eastAsia="仿宋_GB2312" w:cs="仿宋_GB2312"/>
                <w:b/>
                <w:bCs/>
                <w:kern w:val="0"/>
                <w:sz w:val="24"/>
                <w:szCs w:val="24"/>
              </w:rPr>
              <w:t>三级指标</w:t>
            </w:r>
          </w:p>
        </w:tc>
        <w:tc>
          <w:tcPr>
            <w:tcW w:w="2550" w:type="dxa"/>
            <w:vMerge w:val="restart"/>
            <w:tcBorders>
              <w:left w:val="single" w:color="auto" w:sz="4" w:space="0"/>
              <w:right w:val="single" w:color="auto" w:sz="4" w:space="0"/>
            </w:tcBorders>
            <w:vAlign w:val="center"/>
          </w:tcPr>
          <w:p w14:paraId="3F96E7EE">
            <w:pPr>
              <w:widowControl/>
              <w:spacing w:line="240" w:lineRule="exact"/>
              <w:jc w:val="center"/>
              <w:rPr>
                <w:rFonts w:cs="Times New Roman"/>
                <w:b/>
                <w:bCs/>
              </w:rPr>
            </w:pPr>
            <w:r>
              <w:rPr>
                <w:rFonts w:hint="eastAsia" w:ascii="仿宋_GB2312" w:hAnsi="新宋体" w:eastAsia="仿宋_GB2312" w:cs="仿宋_GB2312"/>
                <w:b/>
                <w:bCs/>
                <w:kern w:val="0"/>
                <w:sz w:val="24"/>
                <w:szCs w:val="24"/>
              </w:rPr>
              <w:t>评分标准</w:t>
            </w:r>
          </w:p>
        </w:tc>
        <w:tc>
          <w:tcPr>
            <w:tcW w:w="765" w:type="dxa"/>
            <w:vMerge w:val="restart"/>
            <w:tcBorders>
              <w:left w:val="single" w:color="auto" w:sz="4" w:space="0"/>
              <w:right w:val="single" w:color="auto" w:sz="4" w:space="0"/>
            </w:tcBorders>
            <w:vAlign w:val="center"/>
          </w:tcPr>
          <w:p w14:paraId="0FA2D234">
            <w:pPr>
              <w:widowControl/>
              <w:spacing w:line="240" w:lineRule="exact"/>
              <w:jc w:val="left"/>
              <w:rPr>
                <w:rFonts w:cs="Times New Roman"/>
                <w:b/>
                <w:bCs/>
              </w:rPr>
            </w:pPr>
            <w:r>
              <w:rPr>
                <w:rFonts w:hint="eastAsia" w:ascii="仿宋_GB2312" w:hAnsi="新宋体" w:eastAsia="仿宋_GB2312" w:cs="仿宋_GB2312"/>
                <w:b/>
                <w:bCs/>
                <w:kern w:val="0"/>
                <w:sz w:val="24"/>
                <w:szCs w:val="24"/>
              </w:rPr>
              <w:t>得分</w:t>
            </w:r>
          </w:p>
        </w:tc>
      </w:tr>
      <w:tr w14:paraId="2DE33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95" w:type="dxa"/>
            <w:vMerge w:val="continue"/>
            <w:vAlign w:val="center"/>
          </w:tcPr>
          <w:p w14:paraId="28A72A64">
            <w:pPr>
              <w:rPr>
                <w:rFonts w:ascii="宋体" w:cs="Times New Roman"/>
              </w:rPr>
            </w:pPr>
          </w:p>
        </w:tc>
        <w:tc>
          <w:tcPr>
            <w:tcW w:w="765" w:type="dxa"/>
            <w:vMerge w:val="continue"/>
            <w:vAlign w:val="center"/>
          </w:tcPr>
          <w:p w14:paraId="3FA11D0E">
            <w:pPr>
              <w:rPr>
                <w:rFonts w:ascii="宋体" w:cs="Times New Roman"/>
              </w:rPr>
            </w:pPr>
          </w:p>
        </w:tc>
        <w:tc>
          <w:tcPr>
            <w:tcW w:w="990" w:type="dxa"/>
            <w:tcBorders>
              <w:right w:val="single" w:color="auto" w:sz="4" w:space="0"/>
            </w:tcBorders>
            <w:vAlign w:val="center"/>
          </w:tcPr>
          <w:p w14:paraId="2FDC53CE">
            <w:pPr>
              <w:widowControl/>
              <w:spacing w:line="240" w:lineRule="exact"/>
              <w:jc w:val="center"/>
              <w:rPr>
                <w:rFonts w:cs="Times New Roman"/>
                <w:b/>
                <w:bCs/>
              </w:rPr>
            </w:pPr>
            <w:r>
              <w:rPr>
                <w:rFonts w:hint="eastAsia" w:ascii="仿宋_GB2312" w:hAnsi="新宋体" w:eastAsia="仿宋_GB2312" w:cs="仿宋_GB2312"/>
                <w:b/>
                <w:bCs/>
                <w:kern w:val="0"/>
                <w:sz w:val="24"/>
                <w:szCs w:val="24"/>
              </w:rPr>
              <w:t>指标名称</w:t>
            </w:r>
          </w:p>
        </w:tc>
        <w:tc>
          <w:tcPr>
            <w:tcW w:w="3975" w:type="dxa"/>
            <w:tcBorders>
              <w:left w:val="single" w:color="auto" w:sz="4" w:space="0"/>
              <w:right w:val="single" w:color="auto" w:sz="4" w:space="0"/>
            </w:tcBorders>
            <w:vAlign w:val="center"/>
          </w:tcPr>
          <w:p w14:paraId="1F342ABA">
            <w:pPr>
              <w:widowControl/>
              <w:spacing w:line="240" w:lineRule="exact"/>
              <w:jc w:val="center"/>
              <w:rPr>
                <w:rFonts w:cs="Times New Roman"/>
                <w:b/>
                <w:bCs/>
              </w:rPr>
            </w:pPr>
            <w:r>
              <w:rPr>
                <w:rFonts w:hint="eastAsia" w:ascii="仿宋_GB2312" w:hAnsi="新宋体" w:eastAsia="仿宋_GB2312" w:cs="仿宋_GB2312"/>
                <w:b/>
                <w:bCs/>
                <w:kern w:val="0"/>
                <w:sz w:val="24"/>
                <w:szCs w:val="24"/>
              </w:rPr>
              <w:t>指标解释说明</w:t>
            </w:r>
          </w:p>
        </w:tc>
        <w:tc>
          <w:tcPr>
            <w:tcW w:w="2550" w:type="dxa"/>
            <w:vMerge w:val="continue"/>
            <w:tcBorders>
              <w:left w:val="single" w:color="auto" w:sz="4" w:space="0"/>
              <w:right w:val="single" w:color="auto" w:sz="4" w:space="0"/>
            </w:tcBorders>
            <w:vAlign w:val="center"/>
          </w:tcPr>
          <w:p w14:paraId="6230A13B">
            <w:pPr>
              <w:rPr>
                <w:rFonts w:ascii="宋体" w:cs="Times New Roman"/>
              </w:rPr>
            </w:pPr>
          </w:p>
        </w:tc>
        <w:tc>
          <w:tcPr>
            <w:tcW w:w="765" w:type="dxa"/>
            <w:vMerge w:val="continue"/>
            <w:tcBorders>
              <w:left w:val="single" w:color="auto" w:sz="4" w:space="0"/>
              <w:right w:val="single" w:color="auto" w:sz="4" w:space="0"/>
            </w:tcBorders>
            <w:vAlign w:val="center"/>
          </w:tcPr>
          <w:p w14:paraId="53114637">
            <w:pPr>
              <w:rPr>
                <w:rFonts w:ascii="宋体" w:cs="Times New Roman"/>
              </w:rPr>
            </w:pPr>
          </w:p>
        </w:tc>
      </w:tr>
      <w:tr w14:paraId="7A03C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795" w:type="dxa"/>
            <w:vMerge w:val="restart"/>
            <w:vAlign w:val="center"/>
          </w:tcPr>
          <w:p w14:paraId="527C3F0A">
            <w:pPr>
              <w:widowControl/>
              <w:spacing w:line="240" w:lineRule="exact"/>
              <w:jc w:val="left"/>
              <w:rPr>
                <w:rFonts w:cs="Times New Roman"/>
              </w:rPr>
            </w:pPr>
            <w:r>
              <w:rPr>
                <w:rFonts w:hint="eastAsia" w:ascii="仿宋_GB2312" w:hAnsi="新宋体" w:eastAsia="仿宋_GB2312" w:cs="仿宋_GB2312"/>
                <w:kern w:val="0"/>
              </w:rPr>
              <w:t>投入（</w:t>
            </w:r>
            <w:r>
              <w:rPr>
                <w:rFonts w:ascii="仿宋_GB2312" w:hAnsi="新宋体" w:eastAsia="仿宋_GB2312" w:cs="仿宋_GB2312"/>
                <w:kern w:val="0"/>
              </w:rPr>
              <w:t>10</w:t>
            </w:r>
            <w:r>
              <w:rPr>
                <w:rFonts w:hint="eastAsia" w:ascii="仿宋_GB2312" w:hAnsi="新宋体" w:eastAsia="仿宋_GB2312" w:cs="仿宋_GB2312"/>
                <w:kern w:val="0"/>
              </w:rPr>
              <w:t>）</w:t>
            </w:r>
          </w:p>
        </w:tc>
        <w:tc>
          <w:tcPr>
            <w:tcW w:w="765" w:type="dxa"/>
            <w:vMerge w:val="restart"/>
            <w:vAlign w:val="center"/>
          </w:tcPr>
          <w:p w14:paraId="07DFA33B">
            <w:pPr>
              <w:widowControl/>
              <w:spacing w:line="240" w:lineRule="exact"/>
              <w:jc w:val="left"/>
              <w:rPr>
                <w:rFonts w:cs="Times New Roman"/>
              </w:rPr>
            </w:pPr>
            <w:r>
              <w:rPr>
                <w:rFonts w:hint="eastAsia" w:ascii="仿宋_GB2312" w:hAnsi="新宋体" w:eastAsia="仿宋_GB2312" w:cs="仿宋_GB2312"/>
                <w:kern w:val="0"/>
              </w:rPr>
              <w:t>绩效目标设定情况</w:t>
            </w:r>
          </w:p>
          <w:p w14:paraId="6A1FDD73">
            <w:pPr>
              <w:widowControl/>
              <w:spacing w:line="240" w:lineRule="exact"/>
              <w:jc w:val="left"/>
              <w:rPr>
                <w:rFonts w:cs="Times New Roman"/>
                <w:color w:val="FF0000"/>
              </w:rPr>
            </w:pPr>
            <w:r>
              <w:rPr>
                <w:rFonts w:hint="eastAsia" w:ascii="仿宋_GB2312" w:hAnsi="新宋体" w:eastAsia="仿宋_GB2312" w:cs="仿宋_GB2312"/>
                <w:kern w:val="0"/>
              </w:rPr>
              <w:t>（</w:t>
            </w:r>
            <w:r>
              <w:rPr>
                <w:rFonts w:ascii="仿宋_GB2312" w:hAnsi="新宋体" w:eastAsia="仿宋_GB2312" w:cs="仿宋_GB2312"/>
                <w:kern w:val="0"/>
              </w:rPr>
              <w:t>5</w:t>
            </w:r>
            <w:r>
              <w:rPr>
                <w:rFonts w:hint="eastAsia" w:ascii="仿宋_GB2312" w:hAnsi="新宋体" w:eastAsia="仿宋_GB2312" w:cs="仿宋_GB2312"/>
                <w:kern w:val="0"/>
              </w:rPr>
              <w:t>分）</w:t>
            </w:r>
          </w:p>
        </w:tc>
        <w:tc>
          <w:tcPr>
            <w:tcW w:w="990" w:type="dxa"/>
            <w:tcBorders>
              <w:bottom w:val="single" w:color="auto" w:sz="4" w:space="0"/>
              <w:right w:val="single" w:color="auto" w:sz="4" w:space="0"/>
            </w:tcBorders>
            <w:vAlign w:val="center"/>
          </w:tcPr>
          <w:p w14:paraId="482C2EFF">
            <w:pPr>
              <w:widowControl/>
              <w:spacing w:line="240" w:lineRule="exact"/>
              <w:jc w:val="left"/>
              <w:rPr>
                <w:rFonts w:cs="Times New Roman"/>
              </w:rPr>
            </w:pPr>
            <w:r>
              <w:rPr>
                <w:rFonts w:hint="eastAsia" w:ascii="仿宋_GB2312" w:hAnsi="新宋体" w:eastAsia="仿宋_GB2312" w:cs="仿宋_GB2312"/>
                <w:kern w:val="0"/>
              </w:rPr>
              <w:t>职责明确（</w:t>
            </w:r>
            <w:r>
              <w:rPr>
                <w:rFonts w:ascii="仿宋_GB2312" w:hAnsi="新宋体" w:eastAsia="仿宋_GB2312" w:cs="仿宋_GB2312"/>
                <w:kern w:val="0"/>
              </w:rPr>
              <w:t>1</w:t>
            </w:r>
            <w:r>
              <w:rPr>
                <w:rFonts w:hint="eastAsia" w:ascii="仿宋_GB2312" w:hAnsi="新宋体" w:eastAsia="仿宋_GB2312" w:cs="仿宋_GB2312"/>
                <w:kern w:val="0"/>
              </w:rPr>
              <w:t>分）</w:t>
            </w:r>
          </w:p>
        </w:tc>
        <w:tc>
          <w:tcPr>
            <w:tcW w:w="3975" w:type="dxa"/>
            <w:tcBorders>
              <w:left w:val="single" w:color="auto" w:sz="4" w:space="0"/>
              <w:bottom w:val="single" w:color="auto" w:sz="4" w:space="0"/>
              <w:right w:val="single" w:color="auto" w:sz="4" w:space="0"/>
            </w:tcBorders>
            <w:vAlign w:val="center"/>
          </w:tcPr>
          <w:p w14:paraId="56236A2A">
            <w:pPr>
              <w:widowControl/>
              <w:spacing w:line="240" w:lineRule="exact"/>
              <w:jc w:val="left"/>
              <w:rPr>
                <w:rFonts w:cs="Times New Roman"/>
              </w:rPr>
            </w:pPr>
            <w:r>
              <w:rPr>
                <w:rFonts w:hint="eastAsia" w:ascii="仿宋_GB2312" w:hAnsi="新宋体" w:eastAsia="仿宋_GB2312" w:cs="仿宋_GB2312"/>
                <w:kern w:val="0"/>
              </w:rPr>
              <w:t>部门的职责设定是否符合“三定”方案中所赋予的职责，用以反映和评价部门工作的目的性与计划性。</w:t>
            </w:r>
          </w:p>
        </w:tc>
        <w:tc>
          <w:tcPr>
            <w:tcW w:w="2550" w:type="dxa"/>
            <w:tcBorders>
              <w:left w:val="single" w:color="auto" w:sz="4" w:space="0"/>
              <w:bottom w:val="single" w:color="auto" w:sz="4" w:space="0"/>
              <w:right w:val="single" w:color="auto" w:sz="4" w:space="0"/>
            </w:tcBorders>
            <w:vAlign w:val="center"/>
          </w:tcPr>
          <w:p w14:paraId="1A9704C9">
            <w:pPr>
              <w:widowControl/>
              <w:spacing w:line="240" w:lineRule="exact"/>
              <w:jc w:val="left"/>
              <w:rPr>
                <w:rFonts w:cs="Times New Roman"/>
              </w:rPr>
            </w:pPr>
            <w:r>
              <w:rPr>
                <w:rFonts w:hint="eastAsia" w:ascii="仿宋_GB2312" w:hAnsi="新宋体" w:eastAsia="仿宋_GB2312" w:cs="仿宋_GB2312"/>
                <w:kern w:val="0"/>
              </w:rPr>
              <w:t>符合（</w:t>
            </w:r>
            <w:r>
              <w:rPr>
                <w:rFonts w:ascii="仿宋_GB2312" w:hAnsi="新宋体" w:eastAsia="仿宋_GB2312" w:cs="仿宋_GB2312"/>
                <w:kern w:val="0"/>
              </w:rPr>
              <w:t>1</w:t>
            </w:r>
            <w:r>
              <w:rPr>
                <w:rFonts w:hint="eastAsia" w:ascii="仿宋_GB2312" w:hAnsi="新宋体" w:eastAsia="仿宋_GB2312" w:cs="仿宋_GB2312"/>
                <w:kern w:val="0"/>
              </w:rPr>
              <w:t>）；</w:t>
            </w:r>
          </w:p>
          <w:p w14:paraId="67B2688C">
            <w:pPr>
              <w:widowControl/>
              <w:spacing w:line="240" w:lineRule="exact"/>
              <w:jc w:val="left"/>
              <w:rPr>
                <w:rFonts w:cs="Times New Roman"/>
              </w:rPr>
            </w:pPr>
            <w:r>
              <w:rPr>
                <w:rFonts w:hint="eastAsia" w:ascii="仿宋_GB2312" w:hAnsi="新宋体" w:eastAsia="仿宋_GB2312" w:cs="仿宋_GB2312"/>
                <w:kern w:val="0"/>
              </w:rPr>
              <w:t>不符合（</w:t>
            </w:r>
            <w:r>
              <w:rPr>
                <w:rFonts w:ascii="仿宋_GB2312" w:hAnsi="新宋体" w:eastAsia="仿宋_GB2312" w:cs="仿宋_GB2312"/>
                <w:kern w:val="0"/>
              </w:rPr>
              <w:t>0</w:t>
            </w:r>
            <w:r>
              <w:rPr>
                <w:rFonts w:hint="eastAsia" w:ascii="仿宋_GB2312" w:hAnsi="新宋体" w:eastAsia="仿宋_GB2312" w:cs="仿宋_GB2312"/>
                <w:kern w:val="0"/>
              </w:rPr>
              <w:t>）。</w:t>
            </w:r>
          </w:p>
        </w:tc>
        <w:tc>
          <w:tcPr>
            <w:tcW w:w="765" w:type="dxa"/>
            <w:tcBorders>
              <w:left w:val="single" w:color="auto" w:sz="4" w:space="0"/>
              <w:bottom w:val="single" w:color="auto" w:sz="4" w:space="0"/>
            </w:tcBorders>
            <w:vAlign w:val="center"/>
          </w:tcPr>
          <w:p w14:paraId="5DE77702">
            <w:pPr>
              <w:widowControl/>
              <w:spacing w:line="240" w:lineRule="exact"/>
              <w:jc w:val="center"/>
            </w:pPr>
            <w:r>
              <w:t>1</w:t>
            </w:r>
          </w:p>
        </w:tc>
      </w:tr>
      <w:tr w14:paraId="0EF4C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5" w:hRule="atLeast"/>
        </w:trPr>
        <w:tc>
          <w:tcPr>
            <w:tcW w:w="795" w:type="dxa"/>
            <w:vMerge w:val="continue"/>
            <w:vAlign w:val="center"/>
          </w:tcPr>
          <w:p w14:paraId="665796C4">
            <w:pPr>
              <w:spacing w:line="240" w:lineRule="exact"/>
              <w:rPr>
                <w:rFonts w:ascii="宋体" w:cs="Times New Roman"/>
              </w:rPr>
            </w:pPr>
          </w:p>
        </w:tc>
        <w:tc>
          <w:tcPr>
            <w:tcW w:w="765" w:type="dxa"/>
            <w:vMerge w:val="continue"/>
            <w:vAlign w:val="center"/>
          </w:tcPr>
          <w:p w14:paraId="6A3D2C32">
            <w:pPr>
              <w:spacing w:line="240" w:lineRule="exact"/>
              <w:rPr>
                <w:rFonts w:ascii="宋体" w:cs="Times New Roman"/>
              </w:rPr>
            </w:pPr>
          </w:p>
        </w:tc>
        <w:tc>
          <w:tcPr>
            <w:tcW w:w="990" w:type="dxa"/>
            <w:tcBorders>
              <w:bottom w:val="single" w:color="auto" w:sz="4" w:space="0"/>
              <w:right w:val="single" w:color="auto" w:sz="4" w:space="0"/>
            </w:tcBorders>
            <w:vAlign w:val="center"/>
          </w:tcPr>
          <w:p w14:paraId="3B011B42">
            <w:pPr>
              <w:widowControl/>
              <w:spacing w:line="240" w:lineRule="exact"/>
              <w:jc w:val="left"/>
              <w:rPr>
                <w:rFonts w:cs="Times New Roman"/>
              </w:rPr>
            </w:pPr>
            <w:r>
              <w:rPr>
                <w:rFonts w:hint="eastAsia" w:ascii="仿宋_GB2312" w:hAnsi="新宋体" w:eastAsia="仿宋_GB2312" w:cs="仿宋_GB2312"/>
                <w:kern w:val="0"/>
              </w:rPr>
              <w:t>活动合规性（</w:t>
            </w:r>
            <w:r>
              <w:rPr>
                <w:rFonts w:ascii="仿宋_GB2312" w:hAnsi="新宋体" w:eastAsia="仿宋_GB2312" w:cs="仿宋_GB2312"/>
                <w:kern w:val="0"/>
              </w:rPr>
              <w:t>2</w:t>
            </w:r>
            <w:r>
              <w:rPr>
                <w:rFonts w:hint="eastAsia" w:ascii="仿宋_GB2312" w:hAnsi="新宋体" w:eastAsia="仿宋_GB2312" w:cs="仿宋_GB2312"/>
                <w:kern w:val="0"/>
              </w:rPr>
              <w:t>分）</w:t>
            </w:r>
          </w:p>
        </w:tc>
        <w:tc>
          <w:tcPr>
            <w:tcW w:w="3975" w:type="dxa"/>
            <w:tcBorders>
              <w:left w:val="single" w:color="auto" w:sz="4" w:space="0"/>
              <w:bottom w:val="single" w:color="auto" w:sz="4" w:space="0"/>
              <w:right w:val="single" w:color="auto" w:sz="4" w:space="0"/>
            </w:tcBorders>
            <w:vAlign w:val="center"/>
          </w:tcPr>
          <w:p w14:paraId="7132C4C8">
            <w:pPr>
              <w:widowControl/>
              <w:spacing w:line="240" w:lineRule="exact"/>
              <w:jc w:val="left"/>
              <w:rPr>
                <w:rFonts w:cs="Times New Roman"/>
              </w:rPr>
            </w:pPr>
            <w:r>
              <w:rPr>
                <w:rFonts w:hint="eastAsia" w:ascii="仿宋_GB2312" w:hAnsi="新宋体" w:eastAsia="仿宋_GB2312" w:cs="仿宋_GB2312"/>
                <w:kern w:val="0"/>
              </w:rPr>
              <w:t>部门的活动是否在职责范围之内并符合部门中长期规划，用以反映和评价部门活动目标与部门履职、年度工作任务的相符性情况。</w:t>
            </w:r>
          </w:p>
          <w:p w14:paraId="27756DE5">
            <w:pPr>
              <w:widowControl/>
              <w:spacing w:line="240" w:lineRule="exact"/>
              <w:jc w:val="left"/>
              <w:rPr>
                <w:rFonts w:cs="Times New Roman"/>
              </w:rPr>
            </w:pPr>
            <w:r>
              <w:rPr>
                <w:rFonts w:hint="eastAsia" w:ascii="仿宋_GB2312" w:hAnsi="新宋体" w:eastAsia="仿宋_GB2312" w:cs="仿宋_GB2312"/>
                <w:kern w:val="0"/>
              </w:rPr>
              <w:t>评价要点：</w:t>
            </w:r>
          </w:p>
          <w:p w14:paraId="026C4A89">
            <w:pPr>
              <w:widowControl/>
              <w:spacing w:line="240" w:lineRule="exact"/>
              <w:jc w:val="left"/>
              <w:rPr>
                <w:rFonts w:cs="Times New Roman"/>
              </w:rPr>
            </w:pPr>
            <w:r>
              <w:rPr>
                <w:rFonts w:ascii="仿宋_GB2312" w:hAnsi="新宋体" w:eastAsia="仿宋_GB2312" w:cs="仿宋_GB2312"/>
                <w:kern w:val="0"/>
              </w:rPr>
              <w:t>1.</w:t>
            </w:r>
            <w:r>
              <w:rPr>
                <w:rFonts w:hint="eastAsia" w:ascii="仿宋_GB2312" w:hAnsi="新宋体" w:eastAsia="仿宋_GB2312" w:cs="仿宋_GB2312"/>
                <w:kern w:val="0"/>
              </w:rPr>
              <w:t>部门活动的设定在部门所确定的职责范围之内；</w:t>
            </w:r>
          </w:p>
          <w:p w14:paraId="16DE74C3">
            <w:pPr>
              <w:widowControl/>
              <w:spacing w:line="240" w:lineRule="exact"/>
              <w:jc w:val="left"/>
              <w:rPr>
                <w:rFonts w:cs="Times New Roman"/>
              </w:rPr>
            </w:pPr>
            <w:r>
              <w:rPr>
                <w:rFonts w:ascii="仿宋_GB2312" w:hAnsi="新宋体" w:eastAsia="仿宋_GB2312" w:cs="仿宋_GB2312"/>
                <w:kern w:val="0"/>
              </w:rPr>
              <w:t>2.</w:t>
            </w:r>
            <w:r>
              <w:rPr>
                <w:rFonts w:hint="eastAsia" w:ascii="仿宋_GB2312" w:hAnsi="新宋体" w:eastAsia="仿宋_GB2312" w:cs="仿宋_GB2312"/>
                <w:kern w:val="0"/>
              </w:rPr>
              <w:t>部门活动符合市委、市政府的发展规划及本部门的年度工作安排与发展规划。</w:t>
            </w:r>
          </w:p>
        </w:tc>
        <w:tc>
          <w:tcPr>
            <w:tcW w:w="2550" w:type="dxa"/>
            <w:tcBorders>
              <w:left w:val="single" w:color="auto" w:sz="4" w:space="0"/>
              <w:bottom w:val="single" w:color="auto" w:sz="4" w:space="0"/>
              <w:right w:val="single" w:color="auto" w:sz="4" w:space="0"/>
            </w:tcBorders>
            <w:vAlign w:val="center"/>
          </w:tcPr>
          <w:p w14:paraId="04DC8174">
            <w:pPr>
              <w:widowControl/>
              <w:spacing w:line="240" w:lineRule="exact"/>
              <w:jc w:val="left"/>
              <w:rPr>
                <w:rFonts w:cs="Times New Roman"/>
              </w:rPr>
            </w:pPr>
            <w:r>
              <w:rPr>
                <w:rFonts w:hint="eastAsia" w:ascii="仿宋_GB2312" w:hAnsi="新宋体" w:eastAsia="仿宋_GB2312" w:cs="仿宋_GB2312"/>
                <w:kern w:val="0"/>
              </w:rPr>
              <w:t>全部符合（</w:t>
            </w:r>
            <w:r>
              <w:rPr>
                <w:rFonts w:ascii="仿宋_GB2312" w:hAnsi="新宋体" w:eastAsia="仿宋_GB2312" w:cs="仿宋_GB2312"/>
                <w:kern w:val="0"/>
              </w:rPr>
              <w:t>2</w:t>
            </w:r>
            <w:r>
              <w:rPr>
                <w:rFonts w:hint="eastAsia" w:ascii="仿宋_GB2312" w:hAnsi="新宋体" w:eastAsia="仿宋_GB2312" w:cs="仿宋_GB2312"/>
                <w:kern w:val="0"/>
              </w:rPr>
              <w:t>）；</w:t>
            </w:r>
          </w:p>
          <w:p w14:paraId="2FD638C7">
            <w:pPr>
              <w:widowControl/>
              <w:spacing w:line="240" w:lineRule="exact"/>
              <w:jc w:val="left"/>
              <w:rPr>
                <w:rFonts w:cs="Times New Roman"/>
              </w:rPr>
            </w:pPr>
            <w:r>
              <w:rPr>
                <w:rFonts w:hint="eastAsia" w:ascii="仿宋_GB2312" w:hAnsi="新宋体" w:eastAsia="仿宋_GB2312" w:cs="仿宋_GB2312"/>
                <w:kern w:val="0"/>
              </w:rPr>
              <w:t>其中一项不符合（</w:t>
            </w:r>
            <w:r>
              <w:rPr>
                <w:rFonts w:ascii="仿宋_GB2312" w:hAnsi="新宋体" w:eastAsia="仿宋_GB2312" w:cs="仿宋_GB2312"/>
                <w:kern w:val="0"/>
              </w:rPr>
              <w:t>0</w:t>
            </w:r>
            <w:r>
              <w:rPr>
                <w:rFonts w:hint="eastAsia" w:ascii="仿宋_GB2312" w:hAnsi="新宋体" w:eastAsia="仿宋_GB2312" w:cs="仿宋_GB2312"/>
                <w:kern w:val="0"/>
              </w:rPr>
              <w:t>）。</w:t>
            </w:r>
          </w:p>
        </w:tc>
        <w:tc>
          <w:tcPr>
            <w:tcW w:w="765" w:type="dxa"/>
            <w:tcBorders>
              <w:left w:val="single" w:color="auto" w:sz="4" w:space="0"/>
              <w:bottom w:val="single" w:color="auto" w:sz="4" w:space="0"/>
            </w:tcBorders>
            <w:vAlign w:val="center"/>
          </w:tcPr>
          <w:p w14:paraId="183F3307">
            <w:pPr>
              <w:widowControl/>
              <w:spacing w:line="240" w:lineRule="exact"/>
              <w:jc w:val="center"/>
            </w:pPr>
            <w:r>
              <w:t>2</w:t>
            </w:r>
          </w:p>
        </w:tc>
      </w:tr>
      <w:tr w14:paraId="2828B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5" w:hRule="atLeast"/>
        </w:trPr>
        <w:tc>
          <w:tcPr>
            <w:tcW w:w="795" w:type="dxa"/>
            <w:vMerge w:val="continue"/>
            <w:vAlign w:val="center"/>
          </w:tcPr>
          <w:p w14:paraId="558299B6">
            <w:pPr>
              <w:spacing w:line="240" w:lineRule="exact"/>
              <w:rPr>
                <w:rFonts w:ascii="宋体" w:cs="Times New Roman"/>
              </w:rPr>
            </w:pPr>
          </w:p>
        </w:tc>
        <w:tc>
          <w:tcPr>
            <w:tcW w:w="765" w:type="dxa"/>
            <w:vMerge w:val="continue"/>
            <w:vAlign w:val="center"/>
          </w:tcPr>
          <w:p w14:paraId="7367BC9A">
            <w:pPr>
              <w:spacing w:line="240" w:lineRule="exact"/>
              <w:rPr>
                <w:rFonts w:ascii="宋体" w:cs="Times New Roman"/>
              </w:rPr>
            </w:pPr>
          </w:p>
        </w:tc>
        <w:tc>
          <w:tcPr>
            <w:tcW w:w="990" w:type="dxa"/>
            <w:tcBorders>
              <w:bottom w:val="single" w:color="auto" w:sz="4" w:space="0"/>
              <w:right w:val="single" w:color="auto" w:sz="4" w:space="0"/>
            </w:tcBorders>
            <w:vAlign w:val="center"/>
          </w:tcPr>
          <w:p w14:paraId="4F21F82E">
            <w:pPr>
              <w:widowControl/>
              <w:spacing w:line="240" w:lineRule="exact"/>
              <w:jc w:val="left"/>
              <w:rPr>
                <w:rFonts w:cs="Times New Roman"/>
              </w:rPr>
            </w:pPr>
            <w:r>
              <w:rPr>
                <w:rFonts w:hint="eastAsia" w:ascii="仿宋_GB2312" w:hAnsi="新宋体" w:eastAsia="仿宋_GB2312" w:cs="仿宋_GB2312"/>
                <w:kern w:val="0"/>
              </w:rPr>
              <w:t>活动合理性（</w:t>
            </w:r>
            <w:r>
              <w:rPr>
                <w:rFonts w:ascii="仿宋_GB2312" w:hAnsi="新宋体" w:eastAsia="仿宋_GB2312" w:cs="仿宋_GB2312"/>
                <w:kern w:val="0"/>
              </w:rPr>
              <w:t>2</w:t>
            </w:r>
            <w:r>
              <w:rPr>
                <w:rFonts w:hint="eastAsia" w:ascii="仿宋_GB2312" w:hAnsi="新宋体" w:eastAsia="仿宋_GB2312" w:cs="仿宋_GB2312"/>
                <w:kern w:val="0"/>
              </w:rPr>
              <w:t>分）</w:t>
            </w:r>
          </w:p>
        </w:tc>
        <w:tc>
          <w:tcPr>
            <w:tcW w:w="3975" w:type="dxa"/>
            <w:tcBorders>
              <w:left w:val="single" w:color="auto" w:sz="4" w:space="0"/>
              <w:bottom w:val="single" w:color="auto" w:sz="4" w:space="0"/>
              <w:right w:val="single" w:color="auto" w:sz="4" w:space="0"/>
            </w:tcBorders>
            <w:vAlign w:val="center"/>
          </w:tcPr>
          <w:p w14:paraId="4DF14FD5">
            <w:pPr>
              <w:widowControl/>
              <w:spacing w:line="240" w:lineRule="exact"/>
              <w:jc w:val="left"/>
              <w:rPr>
                <w:rFonts w:cs="Times New Roman"/>
              </w:rPr>
            </w:pPr>
            <w:r>
              <w:rPr>
                <w:rFonts w:hint="eastAsia" w:ascii="仿宋_GB2312" w:hAnsi="新宋体" w:eastAsia="仿宋_GB2312" w:cs="仿宋_GB2312"/>
                <w:kern w:val="0"/>
              </w:rPr>
              <w:t>部门所设立的活动是否明确合理、活动的关键性指标设置是否可衡量，用以反映和评价部门活动目标设定的合理性。</w:t>
            </w:r>
          </w:p>
          <w:p w14:paraId="338A6F13">
            <w:pPr>
              <w:widowControl/>
              <w:spacing w:line="240" w:lineRule="exact"/>
              <w:jc w:val="left"/>
              <w:rPr>
                <w:rFonts w:cs="Times New Roman"/>
              </w:rPr>
            </w:pPr>
            <w:r>
              <w:rPr>
                <w:rFonts w:hint="eastAsia" w:ascii="仿宋_GB2312" w:hAnsi="新宋体" w:eastAsia="仿宋_GB2312" w:cs="仿宋_GB2312"/>
                <w:kern w:val="0"/>
              </w:rPr>
              <w:t>评价要点：</w:t>
            </w:r>
          </w:p>
          <w:p w14:paraId="6C3F21AF">
            <w:pPr>
              <w:widowControl/>
              <w:spacing w:line="240" w:lineRule="exact"/>
              <w:jc w:val="left"/>
              <w:rPr>
                <w:rFonts w:cs="Times New Roman"/>
              </w:rPr>
            </w:pPr>
            <w:r>
              <w:rPr>
                <w:rFonts w:ascii="仿宋_GB2312" w:hAnsi="新宋体" w:eastAsia="仿宋_GB2312" w:cs="仿宋_GB2312"/>
                <w:kern w:val="0"/>
              </w:rPr>
              <w:t>1.</w:t>
            </w:r>
            <w:r>
              <w:rPr>
                <w:rFonts w:hint="eastAsia" w:ascii="仿宋_GB2312" w:hAnsi="新宋体" w:eastAsia="仿宋_GB2312" w:cs="仿宋_GB2312"/>
                <w:kern w:val="0"/>
              </w:rPr>
              <w:t>活动目标的设定是可量化的，可通过清晰、可衡量的关键指标值予以体现；</w:t>
            </w:r>
          </w:p>
          <w:p w14:paraId="316F671D">
            <w:pPr>
              <w:widowControl/>
              <w:spacing w:line="240" w:lineRule="exact"/>
              <w:jc w:val="left"/>
              <w:rPr>
                <w:rFonts w:cs="Times New Roman"/>
              </w:rPr>
            </w:pPr>
            <w:r>
              <w:rPr>
                <w:rFonts w:ascii="仿宋_GB2312" w:hAnsi="新宋体" w:eastAsia="仿宋_GB2312" w:cs="仿宋_GB2312"/>
                <w:kern w:val="0"/>
              </w:rPr>
              <w:t>2.</w:t>
            </w:r>
            <w:r>
              <w:rPr>
                <w:rFonts w:hint="eastAsia" w:ascii="仿宋_GB2312" w:hAnsi="新宋体" w:eastAsia="仿宋_GB2312" w:cs="仿宋_GB2312"/>
                <w:kern w:val="0"/>
              </w:rPr>
              <w:t>在活动目标设定时，将关键指标明细分解为具体的达成目标与工作任务。</w:t>
            </w:r>
          </w:p>
        </w:tc>
        <w:tc>
          <w:tcPr>
            <w:tcW w:w="2550" w:type="dxa"/>
            <w:tcBorders>
              <w:left w:val="single" w:color="auto" w:sz="4" w:space="0"/>
              <w:bottom w:val="single" w:color="auto" w:sz="4" w:space="0"/>
              <w:right w:val="single" w:color="auto" w:sz="4" w:space="0"/>
            </w:tcBorders>
            <w:vAlign w:val="center"/>
          </w:tcPr>
          <w:p w14:paraId="0F0A1552">
            <w:pPr>
              <w:widowControl/>
              <w:spacing w:line="240" w:lineRule="exact"/>
              <w:jc w:val="left"/>
              <w:rPr>
                <w:rFonts w:cs="Times New Roman"/>
              </w:rPr>
            </w:pPr>
            <w:r>
              <w:rPr>
                <w:rFonts w:hint="eastAsia" w:ascii="仿宋_GB2312" w:hAnsi="新宋体" w:eastAsia="仿宋_GB2312" w:cs="仿宋_GB2312"/>
                <w:kern w:val="0"/>
              </w:rPr>
              <w:t>全部符合（</w:t>
            </w:r>
            <w:r>
              <w:rPr>
                <w:rFonts w:ascii="仿宋_GB2312" w:hAnsi="新宋体" w:eastAsia="仿宋_GB2312" w:cs="仿宋_GB2312"/>
                <w:kern w:val="0"/>
              </w:rPr>
              <w:t>2</w:t>
            </w:r>
            <w:r>
              <w:rPr>
                <w:rFonts w:hint="eastAsia" w:ascii="仿宋_GB2312" w:hAnsi="新宋体" w:eastAsia="仿宋_GB2312" w:cs="仿宋_GB2312"/>
                <w:kern w:val="0"/>
              </w:rPr>
              <w:t>）；</w:t>
            </w:r>
          </w:p>
          <w:p w14:paraId="2A764BC8">
            <w:pPr>
              <w:widowControl/>
              <w:spacing w:line="240" w:lineRule="exact"/>
              <w:jc w:val="left"/>
              <w:rPr>
                <w:rFonts w:cs="Times New Roman"/>
              </w:rPr>
            </w:pPr>
            <w:r>
              <w:rPr>
                <w:rFonts w:hint="eastAsia" w:ascii="仿宋_GB2312" w:hAnsi="新宋体" w:eastAsia="仿宋_GB2312" w:cs="仿宋_GB2312"/>
                <w:kern w:val="0"/>
              </w:rPr>
              <w:t>其中一项不符合（</w:t>
            </w:r>
            <w:r>
              <w:rPr>
                <w:rFonts w:ascii="仿宋_GB2312" w:hAnsi="新宋体" w:eastAsia="仿宋_GB2312" w:cs="仿宋_GB2312"/>
                <w:kern w:val="0"/>
              </w:rPr>
              <w:t>0</w:t>
            </w:r>
            <w:r>
              <w:rPr>
                <w:rFonts w:hint="eastAsia" w:ascii="仿宋_GB2312" w:hAnsi="新宋体" w:eastAsia="仿宋_GB2312" w:cs="仿宋_GB2312"/>
                <w:kern w:val="0"/>
              </w:rPr>
              <w:t>）。</w:t>
            </w:r>
          </w:p>
        </w:tc>
        <w:tc>
          <w:tcPr>
            <w:tcW w:w="765" w:type="dxa"/>
            <w:tcBorders>
              <w:left w:val="single" w:color="auto" w:sz="4" w:space="0"/>
              <w:bottom w:val="single" w:color="auto" w:sz="4" w:space="0"/>
            </w:tcBorders>
            <w:vAlign w:val="center"/>
          </w:tcPr>
          <w:p w14:paraId="7F0F3108">
            <w:pPr>
              <w:widowControl/>
              <w:spacing w:line="240" w:lineRule="exact"/>
              <w:jc w:val="center"/>
            </w:pPr>
            <w:r>
              <w:t>2</w:t>
            </w:r>
          </w:p>
        </w:tc>
      </w:tr>
      <w:tr w14:paraId="39663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5" w:hRule="atLeast"/>
        </w:trPr>
        <w:tc>
          <w:tcPr>
            <w:tcW w:w="795" w:type="dxa"/>
            <w:vMerge w:val="continue"/>
            <w:vAlign w:val="center"/>
          </w:tcPr>
          <w:p w14:paraId="683CDAB7">
            <w:pPr>
              <w:spacing w:line="240" w:lineRule="exact"/>
              <w:rPr>
                <w:rFonts w:ascii="宋体" w:cs="Times New Roman"/>
              </w:rPr>
            </w:pPr>
          </w:p>
        </w:tc>
        <w:tc>
          <w:tcPr>
            <w:tcW w:w="765" w:type="dxa"/>
            <w:vMerge w:val="restart"/>
            <w:vAlign w:val="center"/>
          </w:tcPr>
          <w:p w14:paraId="7998D580">
            <w:pPr>
              <w:widowControl/>
              <w:spacing w:line="240" w:lineRule="exact"/>
              <w:jc w:val="left"/>
              <w:rPr>
                <w:rFonts w:cs="Times New Roman"/>
              </w:rPr>
            </w:pPr>
            <w:r>
              <w:rPr>
                <w:rFonts w:hint="eastAsia" w:ascii="仿宋_GB2312" w:hAnsi="新宋体" w:eastAsia="仿宋_GB2312" w:cs="仿宋_GB2312"/>
                <w:kern w:val="0"/>
              </w:rPr>
              <w:t>预算配置情况</w:t>
            </w:r>
            <w:r>
              <w:rPr>
                <w:rFonts w:ascii="仿宋_GB2312" w:hAnsi="新宋体" w:eastAsia="仿宋_GB2312" w:cs="仿宋_GB2312"/>
                <w:kern w:val="0"/>
              </w:rPr>
              <w:t>(5</w:t>
            </w:r>
            <w:r>
              <w:rPr>
                <w:rFonts w:hint="eastAsia" w:ascii="仿宋_GB2312" w:hAnsi="新宋体" w:eastAsia="仿宋_GB2312" w:cs="仿宋_GB2312"/>
                <w:kern w:val="0"/>
              </w:rPr>
              <w:t>分</w:t>
            </w:r>
            <w:r>
              <w:rPr>
                <w:rFonts w:ascii="仿宋_GB2312" w:hAnsi="新宋体" w:eastAsia="仿宋_GB2312" w:cs="仿宋_GB2312"/>
                <w:kern w:val="0"/>
              </w:rPr>
              <w:t>)</w:t>
            </w:r>
          </w:p>
        </w:tc>
        <w:tc>
          <w:tcPr>
            <w:tcW w:w="990" w:type="dxa"/>
            <w:tcBorders>
              <w:top w:val="single" w:color="auto" w:sz="4" w:space="0"/>
              <w:right w:val="single" w:color="auto" w:sz="4" w:space="0"/>
            </w:tcBorders>
            <w:vAlign w:val="center"/>
          </w:tcPr>
          <w:p w14:paraId="036077B9">
            <w:pPr>
              <w:widowControl/>
              <w:spacing w:line="240" w:lineRule="exact"/>
              <w:jc w:val="left"/>
              <w:rPr>
                <w:rFonts w:cs="Times New Roman"/>
              </w:rPr>
            </w:pPr>
            <w:r>
              <w:rPr>
                <w:rFonts w:hint="eastAsia" w:ascii="仿宋_GB2312" w:hAnsi="新宋体" w:eastAsia="仿宋_GB2312" w:cs="仿宋_GB2312"/>
                <w:kern w:val="0"/>
              </w:rPr>
              <w:t>在职人员控制率（</w:t>
            </w:r>
            <w:r>
              <w:rPr>
                <w:rFonts w:ascii="仿宋_GB2312" w:hAnsi="新宋体" w:eastAsia="仿宋_GB2312" w:cs="仿宋_GB2312"/>
                <w:kern w:val="0"/>
              </w:rPr>
              <w:t>1</w:t>
            </w:r>
            <w:r>
              <w:rPr>
                <w:rFonts w:hint="eastAsia" w:ascii="仿宋_GB2312" w:hAnsi="新宋体" w:eastAsia="仿宋_GB2312" w:cs="仿宋_GB2312"/>
                <w:kern w:val="0"/>
              </w:rPr>
              <w:t>分）</w:t>
            </w:r>
          </w:p>
        </w:tc>
        <w:tc>
          <w:tcPr>
            <w:tcW w:w="3975" w:type="dxa"/>
            <w:tcBorders>
              <w:top w:val="single" w:color="auto" w:sz="4" w:space="0"/>
              <w:left w:val="single" w:color="auto" w:sz="4" w:space="0"/>
              <w:right w:val="single" w:color="auto" w:sz="4" w:space="0"/>
            </w:tcBorders>
            <w:vAlign w:val="center"/>
          </w:tcPr>
          <w:p w14:paraId="608DB15C">
            <w:pPr>
              <w:widowControl/>
              <w:spacing w:line="240" w:lineRule="exact"/>
              <w:jc w:val="left"/>
              <w:rPr>
                <w:rFonts w:cs="Times New Roman"/>
              </w:rPr>
            </w:pPr>
            <w:r>
              <w:rPr>
                <w:rFonts w:hint="eastAsia" w:ascii="仿宋_GB2312" w:hAnsi="新宋体" w:eastAsia="仿宋_GB2312" w:cs="仿宋_GB2312"/>
                <w:kern w:val="0"/>
              </w:rPr>
              <w:t>部门本年度实际在职人员数与编制数的比率，用以反映和评价部门对人员成本的控制程度。</w:t>
            </w:r>
          </w:p>
          <w:p w14:paraId="6419CA2D">
            <w:pPr>
              <w:widowControl/>
              <w:spacing w:line="240" w:lineRule="exact"/>
              <w:jc w:val="left"/>
              <w:rPr>
                <w:rFonts w:cs="Times New Roman"/>
              </w:rPr>
            </w:pPr>
            <w:r>
              <w:rPr>
                <w:rFonts w:hint="eastAsia" w:ascii="仿宋_GB2312" w:hAnsi="新宋体" w:eastAsia="仿宋_GB2312" w:cs="仿宋_GB2312"/>
                <w:kern w:val="0"/>
              </w:rPr>
              <w:t>在职人员控制率</w:t>
            </w:r>
            <w:r>
              <w:rPr>
                <w:rFonts w:ascii="仿宋_GB2312" w:hAnsi="新宋体" w:eastAsia="仿宋_GB2312" w:cs="仿宋_GB2312"/>
                <w:kern w:val="0"/>
              </w:rPr>
              <w:t>=</w:t>
            </w:r>
            <w:r>
              <w:rPr>
                <w:rFonts w:hint="eastAsia" w:ascii="仿宋_GB2312" w:hAnsi="新宋体" w:eastAsia="仿宋_GB2312" w:cs="仿宋_GB2312"/>
                <w:kern w:val="0"/>
              </w:rPr>
              <w:t>（在职人员数</w:t>
            </w:r>
            <w:r>
              <w:rPr>
                <w:rFonts w:ascii="仿宋_GB2312" w:hAnsi="新宋体" w:eastAsia="仿宋_GB2312" w:cs="仿宋_GB2312"/>
                <w:kern w:val="0"/>
              </w:rPr>
              <w:t>/</w:t>
            </w:r>
            <w:r>
              <w:rPr>
                <w:rFonts w:hint="eastAsia" w:ascii="仿宋_GB2312" w:hAnsi="新宋体" w:eastAsia="仿宋_GB2312" w:cs="仿宋_GB2312"/>
                <w:kern w:val="0"/>
              </w:rPr>
              <w:t>编制数）×</w:t>
            </w:r>
            <w:r>
              <w:rPr>
                <w:rFonts w:ascii="仿宋_GB2312" w:hAnsi="新宋体" w:eastAsia="仿宋_GB2312" w:cs="仿宋_GB2312"/>
                <w:kern w:val="0"/>
              </w:rPr>
              <w:t>100%</w:t>
            </w:r>
            <w:r>
              <w:rPr>
                <w:rFonts w:hint="eastAsia" w:ascii="仿宋_GB2312" w:hAnsi="新宋体" w:eastAsia="仿宋_GB2312" w:cs="仿宋_GB2312"/>
                <w:kern w:val="0"/>
              </w:rPr>
              <w:t>。</w:t>
            </w:r>
          </w:p>
          <w:p w14:paraId="33DC3C49">
            <w:pPr>
              <w:widowControl/>
              <w:spacing w:line="240" w:lineRule="exact"/>
              <w:jc w:val="left"/>
              <w:rPr>
                <w:rFonts w:cs="Times New Roman"/>
              </w:rPr>
            </w:pPr>
            <w:r>
              <w:rPr>
                <w:rFonts w:hint="eastAsia" w:ascii="仿宋_GB2312" w:hAnsi="新宋体" w:eastAsia="仿宋_GB2312" w:cs="仿宋_GB2312"/>
                <w:kern w:val="0"/>
              </w:rPr>
              <w:t>在职人员数：部门实际在职人数，以财政部确定的部门决算编制口径为准，由编制部门和人劳部门批复同意的临聘人员除外。</w:t>
            </w:r>
          </w:p>
          <w:p w14:paraId="03B59250">
            <w:pPr>
              <w:widowControl/>
              <w:spacing w:line="240" w:lineRule="exact"/>
              <w:jc w:val="left"/>
              <w:rPr>
                <w:rFonts w:cs="Times New Roman"/>
              </w:rPr>
            </w:pPr>
            <w:r>
              <w:rPr>
                <w:rFonts w:hint="eastAsia" w:ascii="仿宋_GB2312" w:hAnsi="新宋体" w:eastAsia="仿宋_GB2312" w:cs="仿宋_GB2312"/>
                <w:kern w:val="0"/>
              </w:rPr>
              <w:t>编制数：机构编制部门核定批复的部门人员编制数。</w:t>
            </w:r>
          </w:p>
        </w:tc>
        <w:tc>
          <w:tcPr>
            <w:tcW w:w="2550" w:type="dxa"/>
            <w:tcBorders>
              <w:top w:val="single" w:color="auto" w:sz="4" w:space="0"/>
              <w:left w:val="single" w:color="auto" w:sz="4" w:space="0"/>
              <w:right w:val="single" w:color="auto" w:sz="4" w:space="0"/>
            </w:tcBorders>
            <w:vAlign w:val="center"/>
          </w:tcPr>
          <w:p w14:paraId="2F22DD72">
            <w:pPr>
              <w:widowControl/>
              <w:spacing w:line="240" w:lineRule="exact"/>
              <w:jc w:val="left"/>
              <w:rPr>
                <w:rFonts w:cs="Times New Roman"/>
              </w:rPr>
            </w:pPr>
            <w:r>
              <w:rPr>
                <w:rFonts w:ascii="仿宋_GB2312" w:hAnsi="新宋体" w:eastAsia="仿宋_GB2312" w:cs="仿宋_GB2312"/>
                <w:kern w:val="0"/>
              </w:rPr>
              <w:t>1.</w:t>
            </w:r>
            <w:r>
              <w:rPr>
                <w:rFonts w:hint="eastAsia" w:ascii="仿宋_GB2312" w:hAnsi="新宋体" w:eastAsia="仿宋_GB2312" w:cs="仿宋_GB2312"/>
                <w:kern w:val="0"/>
              </w:rPr>
              <w:t>在职人员控制率小于或等于</w:t>
            </w:r>
            <w:r>
              <w:rPr>
                <w:rFonts w:ascii="仿宋_GB2312" w:hAnsi="新宋体" w:eastAsia="仿宋_GB2312" w:cs="仿宋_GB2312"/>
                <w:kern w:val="0"/>
              </w:rPr>
              <w:t>100%</w:t>
            </w:r>
            <w:r>
              <w:rPr>
                <w:rFonts w:hint="eastAsia" w:ascii="仿宋_GB2312" w:hAnsi="新宋体" w:eastAsia="仿宋_GB2312" w:cs="仿宋_GB2312"/>
                <w:kern w:val="0"/>
              </w:rPr>
              <w:t>的，得满分；</w:t>
            </w:r>
          </w:p>
          <w:p w14:paraId="3B8C3483">
            <w:pPr>
              <w:widowControl/>
              <w:spacing w:line="240" w:lineRule="exact"/>
              <w:jc w:val="left"/>
              <w:rPr>
                <w:rFonts w:cs="Times New Roman"/>
              </w:rPr>
            </w:pPr>
            <w:r>
              <w:rPr>
                <w:rFonts w:ascii="仿宋_GB2312" w:hAnsi="新宋体" w:eastAsia="仿宋_GB2312" w:cs="仿宋_GB2312"/>
                <w:kern w:val="0"/>
              </w:rPr>
              <w:t>2.</w:t>
            </w:r>
            <w:r>
              <w:rPr>
                <w:rFonts w:hint="eastAsia" w:ascii="仿宋_GB2312" w:hAnsi="新宋体" w:eastAsia="仿宋_GB2312" w:cs="仿宋_GB2312"/>
                <w:kern w:val="0"/>
              </w:rPr>
              <w:t>在职人员控制率大于或等于</w:t>
            </w:r>
            <w:r>
              <w:rPr>
                <w:rFonts w:ascii="仿宋_GB2312" w:hAnsi="新宋体" w:eastAsia="仿宋_GB2312" w:cs="仿宋_GB2312"/>
                <w:kern w:val="0"/>
              </w:rPr>
              <w:t>115%</w:t>
            </w:r>
            <w:r>
              <w:rPr>
                <w:rFonts w:hint="eastAsia" w:ascii="仿宋_GB2312" w:hAnsi="新宋体" w:eastAsia="仿宋_GB2312" w:cs="仿宋_GB2312"/>
                <w:kern w:val="0"/>
              </w:rPr>
              <w:t>的，得</w:t>
            </w:r>
            <w:r>
              <w:rPr>
                <w:rFonts w:ascii="仿宋_GB2312" w:hAnsi="新宋体" w:eastAsia="仿宋_GB2312" w:cs="仿宋_GB2312"/>
                <w:kern w:val="0"/>
              </w:rPr>
              <w:t>0</w:t>
            </w:r>
            <w:r>
              <w:rPr>
                <w:rFonts w:hint="eastAsia" w:ascii="仿宋_GB2312" w:hAnsi="新宋体" w:eastAsia="仿宋_GB2312" w:cs="仿宋_GB2312"/>
                <w:kern w:val="0"/>
              </w:rPr>
              <w:t>分；</w:t>
            </w:r>
          </w:p>
          <w:p w14:paraId="596AAD35">
            <w:pPr>
              <w:widowControl/>
              <w:spacing w:line="240" w:lineRule="exact"/>
              <w:jc w:val="left"/>
              <w:rPr>
                <w:rFonts w:cs="Times New Roman"/>
              </w:rPr>
            </w:pPr>
            <w:r>
              <w:rPr>
                <w:rFonts w:ascii="仿宋_GB2312" w:hAnsi="新宋体" w:eastAsia="仿宋_GB2312" w:cs="仿宋_GB2312"/>
                <w:kern w:val="0"/>
              </w:rPr>
              <w:t>3.</w:t>
            </w:r>
            <w:r>
              <w:rPr>
                <w:rFonts w:hint="eastAsia" w:ascii="仿宋_GB2312" w:hAnsi="新宋体" w:eastAsia="仿宋_GB2312" w:cs="仿宋_GB2312"/>
                <w:kern w:val="0"/>
              </w:rPr>
              <w:t>在职人员控制率在</w:t>
            </w:r>
            <w:r>
              <w:rPr>
                <w:rFonts w:ascii="仿宋_GB2312" w:hAnsi="新宋体" w:eastAsia="仿宋_GB2312" w:cs="仿宋_GB2312"/>
                <w:kern w:val="0"/>
              </w:rPr>
              <w:t>100%-115%</w:t>
            </w:r>
            <w:r>
              <w:rPr>
                <w:rFonts w:hint="eastAsia" w:ascii="仿宋_GB2312" w:hAnsi="新宋体" w:eastAsia="仿宋_GB2312" w:cs="仿宋_GB2312"/>
                <w:kern w:val="0"/>
              </w:rPr>
              <w:t>之间的，在</w:t>
            </w:r>
            <w:r>
              <w:rPr>
                <w:rFonts w:ascii="仿宋_GB2312" w:hAnsi="新宋体" w:eastAsia="仿宋_GB2312" w:cs="仿宋_GB2312"/>
                <w:kern w:val="0"/>
              </w:rPr>
              <w:t>0</w:t>
            </w:r>
            <w:r>
              <w:rPr>
                <w:rFonts w:hint="eastAsia" w:ascii="仿宋_GB2312" w:hAnsi="新宋体" w:eastAsia="仿宋_GB2312" w:cs="仿宋_GB2312"/>
                <w:kern w:val="0"/>
              </w:rPr>
              <w:t>分和满分之间计算确定：</w:t>
            </w:r>
          </w:p>
          <w:p w14:paraId="5F375D6D">
            <w:pPr>
              <w:widowControl/>
              <w:spacing w:line="240" w:lineRule="exact"/>
              <w:jc w:val="left"/>
              <w:rPr>
                <w:rFonts w:cs="Times New Roman"/>
              </w:rPr>
            </w:pPr>
            <w:r>
              <w:rPr>
                <w:rFonts w:hint="eastAsia" w:ascii="仿宋_GB2312" w:hAnsi="新宋体" w:eastAsia="仿宋_GB2312" w:cs="仿宋_GB2312"/>
                <w:kern w:val="0"/>
              </w:rPr>
              <w:t>得分</w:t>
            </w:r>
            <w:r>
              <w:rPr>
                <w:rFonts w:ascii="仿宋_GB2312" w:hAnsi="新宋体" w:eastAsia="仿宋_GB2312" w:cs="仿宋_GB2312"/>
                <w:kern w:val="0"/>
              </w:rPr>
              <w:t>=[max</w:t>
            </w:r>
            <w:r>
              <w:rPr>
                <w:rFonts w:hint="eastAsia" w:ascii="仿宋_GB2312" w:hAnsi="新宋体" w:eastAsia="仿宋_GB2312" w:cs="仿宋_GB2312"/>
                <w:kern w:val="0"/>
              </w:rPr>
              <w:t>（在职人员控制率）－某部门在职人员控制率</w:t>
            </w:r>
            <w:r>
              <w:rPr>
                <w:rFonts w:ascii="仿宋_GB2312" w:hAnsi="新宋体" w:eastAsia="仿宋_GB2312" w:cs="仿宋_GB2312"/>
                <w:kern w:val="0"/>
              </w:rPr>
              <w:t>]/[max</w:t>
            </w:r>
            <w:r>
              <w:rPr>
                <w:rFonts w:hint="eastAsia" w:ascii="仿宋_GB2312" w:hAnsi="新宋体" w:eastAsia="仿宋_GB2312" w:cs="仿宋_GB2312"/>
                <w:kern w:val="0"/>
              </w:rPr>
              <w:t>（在职人员控制率）－</w:t>
            </w:r>
            <w:r>
              <w:rPr>
                <w:rFonts w:ascii="仿宋_GB2312" w:hAnsi="新宋体" w:eastAsia="仿宋_GB2312" w:cs="仿宋_GB2312"/>
                <w:kern w:val="0"/>
              </w:rPr>
              <w:t>min</w:t>
            </w:r>
            <w:r>
              <w:rPr>
                <w:rFonts w:hint="eastAsia" w:ascii="仿宋_GB2312" w:hAnsi="新宋体" w:eastAsia="仿宋_GB2312" w:cs="仿宋_GB2312"/>
                <w:kern w:val="0"/>
              </w:rPr>
              <w:t>（在职人员控制率）</w:t>
            </w:r>
            <w:r>
              <w:rPr>
                <w:rFonts w:ascii="仿宋_GB2312" w:hAnsi="新宋体" w:eastAsia="仿宋_GB2312" w:cs="仿宋_GB2312"/>
                <w:kern w:val="0"/>
              </w:rPr>
              <w:t>]</w:t>
            </w:r>
            <w:r>
              <w:rPr>
                <w:rFonts w:hint="eastAsia" w:ascii="仿宋_GB2312" w:hAnsi="新宋体" w:eastAsia="仿宋_GB2312" w:cs="仿宋_GB2312"/>
                <w:kern w:val="0"/>
              </w:rPr>
              <w:t>×该指标分值。</w:t>
            </w:r>
          </w:p>
        </w:tc>
        <w:tc>
          <w:tcPr>
            <w:tcW w:w="765" w:type="dxa"/>
            <w:tcBorders>
              <w:top w:val="single" w:color="auto" w:sz="4" w:space="0"/>
              <w:left w:val="single" w:color="auto" w:sz="4" w:space="0"/>
            </w:tcBorders>
            <w:vAlign w:val="center"/>
          </w:tcPr>
          <w:p w14:paraId="63ECFAA8">
            <w:pPr>
              <w:widowControl/>
              <w:spacing w:line="240" w:lineRule="exact"/>
              <w:jc w:val="center"/>
            </w:pPr>
            <w:r>
              <w:t>1</w:t>
            </w:r>
          </w:p>
        </w:tc>
      </w:tr>
      <w:tr w14:paraId="708A1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5" w:hRule="atLeast"/>
        </w:trPr>
        <w:tc>
          <w:tcPr>
            <w:tcW w:w="795" w:type="dxa"/>
            <w:vMerge w:val="restart"/>
            <w:vAlign w:val="center"/>
          </w:tcPr>
          <w:p w14:paraId="15BF39A1">
            <w:pPr>
              <w:spacing w:line="240" w:lineRule="exact"/>
              <w:rPr>
                <w:rFonts w:ascii="宋体" w:cs="Times New Roman"/>
              </w:rPr>
            </w:pPr>
          </w:p>
        </w:tc>
        <w:tc>
          <w:tcPr>
            <w:tcW w:w="765" w:type="dxa"/>
            <w:vMerge w:val="continue"/>
            <w:vAlign w:val="center"/>
          </w:tcPr>
          <w:p w14:paraId="35EB0C5B">
            <w:pPr>
              <w:widowControl/>
              <w:spacing w:line="240" w:lineRule="exact"/>
              <w:jc w:val="left"/>
              <w:rPr>
                <w:rFonts w:ascii="仿宋_GB2312" w:hAnsi="新宋体" w:eastAsia="仿宋_GB2312" w:cs="Times New Roman"/>
                <w:kern w:val="0"/>
              </w:rPr>
            </w:pPr>
          </w:p>
        </w:tc>
        <w:tc>
          <w:tcPr>
            <w:tcW w:w="990" w:type="dxa"/>
            <w:tcBorders>
              <w:top w:val="single" w:color="auto" w:sz="4" w:space="0"/>
              <w:right w:val="single" w:color="auto" w:sz="4" w:space="0"/>
            </w:tcBorders>
            <w:vAlign w:val="center"/>
          </w:tcPr>
          <w:p w14:paraId="166088EE">
            <w:pPr>
              <w:widowControl/>
              <w:spacing w:line="240" w:lineRule="exact"/>
              <w:jc w:val="left"/>
              <w:textAlignment w:val="center"/>
              <w:rPr>
                <w:rFonts w:ascii="仿宋" w:hAnsi="仿宋" w:eastAsia="仿宋" w:cs="Times New Roman"/>
                <w:kern w:val="0"/>
              </w:rPr>
            </w:pPr>
            <w:r>
              <w:rPr>
                <w:rFonts w:hint="eastAsia" w:ascii="仿宋" w:hAnsi="仿宋" w:eastAsia="仿宋" w:cs="仿宋"/>
                <w:color w:val="000000"/>
                <w:kern w:val="0"/>
                <w:lang w:eastAsia="zh-CN"/>
              </w:rPr>
              <w:t>“三公”经费</w:t>
            </w:r>
            <w:r>
              <w:rPr>
                <w:rFonts w:hint="eastAsia" w:ascii="仿宋" w:hAnsi="仿宋" w:eastAsia="仿宋" w:cs="仿宋"/>
                <w:color w:val="000000"/>
                <w:kern w:val="0"/>
              </w:rPr>
              <w:t>变动率（</w:t>
            </w:r>
            <w:r>
              <w:rPr>
                <w:rFonts w:ascii="仿宋" w:hAnsi="仿宋" w:eastAsia="仿宋" w:cs="仿宋"/>
                <w:color w:val="000000"/>
                <w:kern w:val="0"/>
              </w:rPr>
              <w:t>2</w:t>
            </w:r>
            <w:r>
              <w:rPr>
                <w:rFonts w:hint="eastAsia" w:ascii="仿宋" w:hAnsi="仿宋" w:eastAsia="仿宋" w:cs="仿宋"/>
                <w:color w:val="000000"/>
                <w:kern w:val="0"/>
              </w:rPr>
              <w:t>分）</w:t>
            </w:r>
          </w:p>
        </w:tc>
        <w:tc>
          <w:tcPr>
            <w:tcW w:w="3975" w:type="dxa"/>
            <w:tcBorders>
              <w:top w:val="single" w:color="auto" w:sz="4" w:space="0"/>
              <w:left w:val="single" w:color="auto" w:sz="4" w:space="0"/>
              <w:right w:val="single" w:color="auto" w:sz="4" w:space="0"/>
            </w:tcBorders>
            <w:vAlign w:val="center"/>
          </w:tcPr>
          <w:p w14:paraId="02166FDE">
            <w:pPr>
              <w:widowControl/>
              <w:spacing w:line="240" w:lineRule="exact"/>
              <w:jc w:val="left"/>
              <w:textAlignment w:val="center"/>
              <w:rPr>
                <w:rFonts w:ascii="仿宋" w:hAnsi="仿宋" w:eastAsia="仿宋" w:cs="Times New Roman"/>
                <w:kern w:val="0"/>
              </w:rPr>
            </w:pPr>
            <w:r>
              <w:rPr>
                <w:rFonts w:hint="eastAsia" w:ascii="仿宋" w:hAnsi="仿宋" w:eastAsia="仿宋" w:cs="仿宋"/>
                <w:color w:val="000000"/>
                <w:kern w:val="0"/>
              </w:rPr>
              <w:t>部门本年度</w:t>
            </w:r>
            <w:r>
              <w:rPr>
                <w:rFonts w:hint="eastAsia" w:ascii="仿宋" w:hAnsi="仿宋" w:eastAsia="仿宋" w:cs="仿宋"/>
                <w:color w:val="000000"/>
                <w:kern w:val="0"/>
                <w:lang w:eastAsia="zh-CN"/>
              </w:rPr>
              <w:t>“三公”经费</w:t>
            </w:r>
            <w:r>
              <w:rPr>
                <w:rFonts w:hint="eastAsia" w:ascii="仿宋" w:hAnsi="仿宋" w:eastAsia="仿宋" w:cs="仿宋"/>
                <w:color w:val="000000"/>
                <w:kern w:val="0"/>
              </w:rPr>
              <w:t>预算数与上年度</w:t>
            </w:r>
            <w:r>
              <w:rPr>
                <w:rFonts w:hint="eastAsia" w:ascii="仿宋" w:hAnsi="仿宋" w:eastAsia="仿宋" w:cs="仿宋"/>
                <w:color w:val="000000"/>
                <w:kern w:val="0"/>
                <w:lang w:eastAsia="zh-CN"/>
              </w:rPr>
              <w:t>“三公”经费</w:t>
            </w:r>
            <w:r>
              <w:rPr>
                <w:rFonts w:hint="eastAsia" w:ascii="仿宋" w:hAnsi="仿宋" w:eastAsia="仿宋" w:cs="仿宋"/>
                <w:color w:val="000000"/>
                <w:kern w:val="0"/>
              </w:rPr>
              <w:t>预算数的变动比率，用以反映和考核部门对控制重点行政成本的努力程度。</w:t>
            </w:r>
            <w:r>
              <w:rPr>
                <w:rFonts w:hint="eastAsia" w:ascii="仿宋" w:hAnsi="仿宋" w:eastAsia="仿宋" w:cs="仿宋"/>
                <w:color w:val="000000"/>
                <w:kern w:val="0"/>
                <w:lang w:eastAsia="zh-CN"/>
              </w:rPr>
              <w:t>“三公”经费</w:t>
            </w:r>
            <w:r>
              <w:rPr>
                <w:rFonts w:hint="eastAsia" w:ascii="仿宋" w:hAnsi="仿宋" w:eastAsia="仿宋" w:cs="仿宋"/>
                <w:color w:val="000000"/>
                <w:kern w:val="0"/>
              </w:rPr>
              <w:t>变动率</w:t>
            </w:r>
            <w:r>
              <w:rPr>
                <w:rFonts w:ascii="仿宋" w:hAnsi="仿宋" w:eastAsia="仿宋" w:cs="仿宋"/>
                <w:color w:val="000000"/>
                <w:kern w:val="0"/>
              </w:rPr>
              <w:t>=[</w:t>
            </w:r>
            <w:r>
              <w:rPr>
                <w:rFonts w:hint="eastAsia" w:ascii="仿宋" w:hAnsi="仿宋" w:eastAsia="仿宋" w:cs="仿宋"/>
                <w:color w:val="000000"/>
                <w:kern w:val="0"/>
              </w:rPr>
              <w:t>（本年度</w:t>
            </w:r>
            <w:r>
              <w:rPr>
                <w:rFonts w:hint="eastAsia" w:ascii="仿宋" w:hAnsi="仿宋" w:eastAsia="仿宋" w:cs="仿宋"/>
                <w:color w:val="000000"/>
                <w:kern w:val="0"/>
                <w:lang w:eastAsia="zh-CN"/>
              </w:rPr>
              <w:t>“三公”经费</w:t>
            </w:r>
            <w:r>
              <w:rPr>
                <w:rFonts w:hint="eastAsia" w:ascii="仿宋" w:hAnsi="仿宋" w:eastAsia="仿宋" w:cs="仿宋"/>
                <w:color w:val="000000"/>
                <w:kern w:val="0"/>
              </w:rPr>
              <w:t>总额</w:t>
            </w:r>
            <w:r>
              <w:rPr>
                <w:rFonts w:ascii="仿宋" w:hAnsi="仿宋" w:eastAsia="仿宋" w:cs="仿宋"/>
                <w:color w:val="000000"/>
                <w:kern w:val="0"/>
              </w:rPr>
              <w:t>-</w:t>
            </w:r>
            <w:r>
              <w:rPr>
                <w:rFonts w:hint="eastAsia" w:ascii="仿宋" w:hAnsi="仿宋" w:eastAsia="仿宋" w:cs="仿宋"/>
                <w:color w:val="000000"/>
                <w:kern w:val="0"/>
              </w:rPr>
              <w:t>上年度</w:t>
            </w:r>
            <w:r>
              <w:rPr>
                <w:rFonts w:hint="eastAsia" w:ascii="仿宋" w:hAnsi="仿宋" w:eastAsia="仿宋" w:cs="仿宋"/>
                <w:color w:val="000000"/>
                <w:kern w:val="0"/>
                <w:lang w:eastAsia="zh-CN"/>
              </w:rPr>
              <w:t>“三公”经费</w:t>
            </w:r>
            <w:r>
              <w:rPr>
                <w:rFonts w:hint="eastAsia" w:ascii="仿宋" w:hAnsi="仿宋" w:eastAsia="仿宋" w:cs="仿宋"/>
                <w:color w:val="000000"/>
                <w:kern w:val="0"/>
              </w:rPr>
              <w:t>总额）</w:t>
            </w:r>
            <w:r>
              <w:rPr>
                <w:rFonts w:ascii="仿宋" w:hAnsi="仿宋" w:eastAsia="仿宋" w:cs="仿宋"/>
                <w:color w:val="000000"/>
                <w:kern w:val="0"/>
              </w:rPr>
              <w:t>/</w:t>
            </w:r>
            <w:r>
              <w:rPr>
                <w:rFonts w:hint="eastAsia" w:ascii="仿宋" w:hAnsi="仿宋" w:eastAsia="仿宋" w:cs="仿宋"/>
                <w:color w:val="000000"/>
                <w:kern w:val="0"/>
              </w:rPr>
              <w:t>上年度</w:t>
            </w:r>
            <w:r>
              <w:rPr>
                <w:rFonts w:hint="eastAsia" w:ascii="仿宋" w:hAnsi="仿宋" w:eastAsia="仿宋" w:cs="仿宋"/>
                <w:color w:val="000000"/>
                <w:kern w:val="0"/>
                <w:lang w:eastAsia="zh-CN"/>
              </w:rPr>
              <w:t>“三公”经费</w:t>
            </w:r>
            <w:r>
              <w:rPr>
                <w:rFonts w:hint="eastAsia" w:ascii="仿宋" w:hAnsi="仿宋" w:eastAsia="仿宋" w:cs="仿宋"/>
                <w:color w:val="000000"/>
                <w:kern w:val="0"/>
              </w:rPr>
              <w:t>总额</w:t>
            </w:r>
            <w:r>
              <w:rPr>
                <w:rFonts w:ascii="仿宋" w:hAnsi="仿宋" w:eastAsia="仿宋" w:cs="仿宋"/>
                <w:color w:val="000000"/>
                <w:kern w:val="0"/>
              </w:rPr>
              <w:t>]</w:t>
            </w:r>
            <w:r>
              <w:rPr>
                <w:rFonts w:hint="eastAsia" w:ascii="仿宋" w:hAnsi="仿宋" w:eastAsia="仿宋" w:cs="仿宋"/>
                <w:color w:val="000000"/>
                <w:kern w:val="0"/>
              </w:rPr>
              <w:t>×</w:t>
            </w:r>
            <w:r>
              <w:rPr>
                <w:rFonts w:ascii="仿宋" w:hAnsi="仿宋" w:eastAsia="仿宋" w:cs="仿宋"/>
                <w:color w:val="000000"/>
                <w:kern w:val="0"/>
              </w:rPr>
              <w:t>100%</w:t>
            </w:r>
            <w:r>
              <w:rPr>
                <w:rFonts w:hint="eastAsia" w:ascii="仿宋" w:hAnsi="仿宋" w:eastAsia="仿宋" w:cs="仿宋"/>
                <w:color w:val="000000"/>
                <w:kern w:val="0"/>
              </w:rPr>
              <w:t>。</w:t>
            </w:r>
            <w:r>
              <w:rPr>
                <w:rFonts w:ascii="仿宋" w:hAnsi="仿宋" w:eastAsia="仿宋" w:cs="Times New Roman"/>
                <w:color w:val="000000"/>
                <w:kern w:val="0"/>
              </w:rPr>
              <w:br w:type="textWrapping"/>
            </w:r>
            <w:r>
              <w:rPr>
                <w:rFonts w:hint="eastAsia" w:ascii="仿宋" w:hAnsi="仿宋" w:eastAsia="仿宋" w:cs="仿宋"/>
                <w:color w:val="000000"/>
                <w:kern w:val="0"/>
                <w:lang w:eastAsia="zh-CN"/>
              </w:rPr>
              <w:t>“三公”经费</w:t>
            </w:r>
            <w:r>
              <w:rPr>
                <w:rFonts w:hint="eastAsia" w:ascii="仿宋" w:hAnsi="仿宋" w:eastAsia="仿宋" w:cs="仿宋"/>
                <w:color w:val="000000"/>
                <w:kern w:val="0"/>
              </w:rPr>
              <w:t>：年度预算安排的因公出国（境）费、公务车辆购置及运行费和公务招待费。</w:t>
            </w:r>
          </w:p>
        </w:tc>
        <w:tc>
          <w:tcPr>
            <w:tcW w:w="2550" w:type="dxa"/>
            <w:tcBorders>
              <w:top w:val="single" w:color="auto" w:sz="4" w:space="0"/>
              <w:left w:val="single" w:color="auto" w:sz="4" w:space="0"/>
              <w:right w:val="single" w:color="auto" w:sz="4" w:space="0"/>
            </w:tcBorders>
            <w:vAlign w:val="center"/>
          </w:tcPr>
          <w:p w14:paraId="7C8DC9B1">
            <w:pPr>
              <w:widowControl/>
              <w:spacing w:line="240" w:lineRule="exact"/>
              <w:jc w:val="left"/>
              <w:rPr>
                <w:rFonts w:cs="Times New Roman"/>
              </w:rPr>
            </w:pPr>
            <w:r>
              <w:rPr>
                <w:rFonts w:ascii="仿宋_GB2312" w:hAnsi="新宋体" w:eastAsia="仿宋_GB2312" w:cs="仿宋_GB2312"/>
                <w:kern w:val="0"/>
              </w:rPr>
              <w:t>1.</w:t>
            </w:r>
            <w:r>
              <w:rPr>
                <w:rFonts w:hint="eastAsia" w:ascii="仿宋" w:hAnsi="仿宋" w:eastAsia="仿宋" w:cs="仿宋"/>
                <w:color w:val="000000"/>
                <w:kern w:val="0"/>
                <w:lang w:eastAsia="zh-CN"/>
              </w:rPr>
              <w:t>“三公”经费</w:t>
            </w:r>
            <w:r>
              <w:rPr>
                <w:rFonts w:hint="eastAsia" w:ascii="仿宋" w:hAnsi="仿宋" w:eastAsia="仿宋" w:cs="仿宋"/>
                <w:color w:val="000000"/>
                <w:kern w:val="0"/>
              </w:rPr>
              <w:t>变动率</w:t>
            </w:r>
            <w:r>
              <w:rPr>
                <w:rFonts w:hint="eastAsia" w:ascii="仿宋_GB2312" w:hAnsi="新宋体" w:eastAsia="仿宋_GB2312" w:cs="仿宋_GB2312"/>
                <w:kern w:val="0"/>
              </w:rPr>
              <w:t>小于或等于</w:t>
            </w:r>
            <w:r>
              <w:rPr>
                <w:rFonts w:ascii="仿宋_GB2312" w:hAnsi="新宋体" w:eastAsia="仿宋_GB2312" w:cs="仿宋_GB2312"/>
                <w:kern w:val="0"/>
              </w:rPr>
              <w:t>-5%</w:t>
            </w:r>
            <w:r>
              <w:rPr>
                <w:rFonts w:hint="eastAsia" w:ascii="仿宋_GB2312" w:hAnsi="新宋体" w:eastAsia="仿宋_GB2312" w:cs="仿宋_GB2312"/>
                <w:kern w:val="0"/>
              </w:rPr>
              <w:t>的，得满分；</w:t>
            </w:r>
          </w:p>
          <w:p w14:paraId="4DD062E1">
            <w:pPr>
              <w:widowControl/>
              <w:spacing w:line="240" w:lineRule="exact"/>
              <w:jc w:val="left"/>
              <w:rPr>
                <w:rFonts w:cs="Times New Roman"/>
              </w:rPr>
            </w:pPr>
            <w:r>
              <w:rPr>
                <w:rFonts w:ascii="仿宋_GB2312" w:hAnsi="新宋体" w:eastAsia="仿宋_GB2312" w:cs="仿宋_GB2312"/>
                <w:kern w:val="0"/>
              </w:rPr>
              <w:t>2.</w:t>
            </w:r>
            <w:r>
              <w:rPr>
                <w:rFonts w:hint="eastAsia" w:ascii="仿宋" w:hAnsi="仿宋" w:eastAsia="仿宋" w:cs="仿宋"/>
                <w:color w:val="000000"/>
                <w:kern w:val="0"/>
                <w:lang w:eastAsia="zh-CN"/>
              </w:rPr>
              <w:t>“三公”经费</w:t>
            </w:r>
            <w:r>
              <w:rPr>
                <w:rFonts w:hint="eastAsia" w:ascii="仿宋" w:hAnsi="仿宋" w:eastAsia="仿宋" w:cs="仿宋"/>
                <w:color w:val="000000"/>
                <w:kern w:val="0"/>
              </w:rPr>
              <w:t>变动率</w:t>
            </w:r>
            <w:r>
              <w:rPr>
                <w:rFonts w:hint="eastAsia" w:ascii="仿宋_GB2312" w:hAnsi="新宋体" w:eastAsia="仿宋_GB2312" w:cs="仿宋_GB2312"/>
                <w:kern w:val="0"/>
              </w:rPr>
              <w:t>大于或等于</w:t>
            </w:r>
            <w:r>
              <w:rPr>
                <w:rFonts w:ascii="仿宋_GB2312" w:hAnsi="新宋体" w:eastAsia="仿宋_GB2312" w:cs="仿宋_GB2312"/>
                <w:kern w:val="0"/>
              </w:rPr>
              <w:t>10%</w:t>
            </w:r>
            <w:r>
              <w:rPr>
                <w:rFonts w:hint="eastAsia" w:ascii="仿宋_GB2312" w:hAnsi="新宋体" w:eastAsia="仿宋_GB2312" w:cs="仿宋_GB2312"/>
                <w:kern w:val="0"/>
              </w:rPr>
              <w:t>的，得</w:t>
            </w:r>
            <w:r>
              <w:rPr>
                <w:rFonts w:ascii="仿宋_GB2312" w:hAnsi="新宋体" w:eastAsia="仿宋_GB2312" w:cs="仿宋_GB2312"/>
                <w:kern w:val="0"/>
              </w:rPr>
              <w:t>0</w:t>
            </w:r>
            <w:r>
              <w:rPr>
                <w:rFonts w:hint="eastAsia" w:ascii="仿宋_GB2312" w:hAnsi="新宋体" w:eastAsia="仿宋_GB2312" w:cs="仿宋_GB2312"/>
                <w:kern w:val="0"/>
              </w:rPr>
              <w:t>分；</w:t>
            </w:r>
          </w:p>
          <w:p w14:paraId="7775D324">
            <w:pPr>
              <w:widowControl/>
              <w:spacing w:line="240" w:lineRule="exact"/>
              <w:jc w:val="left"/>
              <w:rPr>
                <w:rFonts w:cs="Times New Roman"/>
              </w:rPr>
            </w:pPr>
            <w:r>
              <w:rPr>
                <w:rFonts w:ascii="仿宋_GB2312" w:hAnsi="新宋体" w:eastAsia="仿宋_GB2312" w:cs="仿宋_GB2312"/>
                <w:kern w:val="0"/>
              </w:rPr>
              <w:t>3.</w:t>
            </w:r>
            <w:r>
              <w:rPr>
                <w:rFonts w:hint="eastAsia" w:ascii="仿宋_GB2312" w:hAnsi="新宋体" w:eastAsia="仿宋_GB2312" w:cs="仿宋_GB2312"/>
                <w:kern w:val="0"/>
              </w:rPr>
              <w:t>在职人员控制率在</w:t>
            </w:r>
            <w:r>
              <w:rPr>
                <w:rFonts w:ascii="仿宋_GB2312" w:hAnsi="新宋体" w:eastAsia="仿宋_GB2312" w:cs="仿宋_GB2312"/>
                <w:kern w:val="0"/>
              </w:rPr>
              <w:t>-5%-10%</w:t>
            </w:r>
            <w:r>
              <w:rPr>
                <w:rFonts w:hint="eastAsia" w:ascii="仿宋_GB2312" w:hAnsi="新宋体" w:eastAsia="仿宋_GB2312" w:cs="仿宋_GB2312"/>
                <w:kern w:val="0"/>
              </w:rPr>
              <w:t>之间的，在</w:t>
            </w:r>
            <w:r>
              <w:rPr>
                <w:rFonts w:ascii="仿宋_GB2312" w:hAnsi="新宋体" w:eastAsia="仿宋_GB2312" w:cs="仿宋_GB2312"/>
                <w:kern w:val="0"/>
              </w:rPr>
              <w:t>0</w:t>
            </w:r>
            <w:r>
              <w:rPr>
                <w:rFonts w:hint="eastAsia" w:ascii="仿宋_GB2312" w:hAnsi="新宋体" w:eastAsia="仿宋_GB2312" w:cs="仿宋_GB2312"/>
                <w:kern w:val="0"/>
              </w:rPr>
              <w:t>分和满分之间计算确定：</w:t>
            </w:r>
          </w:p>
          <w:p w14:paraId="253CC56C">
            <w:pPr>
              <w:widowControl/>
              <w:spacing w:line="240" w:lineRule="exact"/>
              <w:jc w:val="left"/>
              <w:textAlignment w:val="center"/>
              <w:rPr>
                <w:rFonts w:ascii="仿宋" w:hAnsi="仿宋" w:eastAsia="仿宋" w:cs="Times New Roman"/>
                <w:kern w:val="0"/>
              </w:rPr>
            </w:pPr>
            <w:r>
              <w:rPr>
                <w:rFonts w:hint="eastAsia" w:ascii="仿宋_GB2312" w:hAnsi="新宋体" w:eastAsia="仿宋_GB2312" w:cs="仿宋_GB2312"/>
                <w:kern w:val="0"/>
              </w:rPr>
              <w:t>得分</w:t>
            </w:r>
            <w:r>
              <w:rPr>
                <w:rFonts w:ascii="仿宋_GB2312" w:hAnsi="新宋体" w:eastAsia="仿宋_GB2312" w:cs="仿宋_GB2312"/>
                <w:kern w:val="0"/>
              </w:rPr>
              <w:t>=[max</w:t>
            </w:r>
            <w:r>
              <w:rPr>
                <w:rFonts w:hint="eastAsia" w:ascii="仿宋_GB2312" w:hAnsi="新宋体" w:eastAsia="仿宋_GB2312" w:cs="仿宋_GB2312"/>
                <w:kern w:val="0"/>
              </w:rPr>
              <w:t>（</w:t>
            </w:r>
            <w:r>
              <w:rPr>
                <w:rFonts w:hint="eastAsia" w:ascii="仿宋" w:hAnsi="仿宋" w:eastAsia="仿宋" w:cs="仿宋"/>
                <w:color w:val="000000"/>
                <w:kern w:val="0"/>
                <w:lang w:eastAsia="zh-CN"/>
              </w:rPr>
              <w:t>“三公”经费</w:t>
            </w:r>
            <w:r>
              <w:rPr>
                <w:rFonts w:hint="eastAsia" w:ascii="仿宋" w:hAnsi="仿宋" w:eastAsia="仿宋" w:cs="仿宋"/>
                <w:color w:val="000000"/>
                <w:kern w:val="0"/>
              </w:rPr>
              <w:t>变动率</w:t>
            </w:r>
            <w:r>
              <w:rPr>
                <w:rFonts w:hint="eastAsia" w:ascii="仿宋_GB2312" w:hAnsi="新宋体" w:eastAsia="仿宋_GB2312" w:cs="仿宋_GB2312"/>
                <w:kern w:val="0"/>
              </w:rPr>
              <w:t>）－</w:t>
            </w:r>
            <w:r>
              <w:rPr>
                <w:rFonts w:hint="eastAsia" w:ascii="仿宋" w:hAnsi="仿宋" w:eastAsia="仿宋" w:cs="仿宋"/>
                <w:color w:val="000000"/>
                <w:kern w:val="0"/>
                <w:lang w:eastAsia="zh-CN"/>
              </w:rPr>
              <w:t>“三公”经费</w:t>
            </w:r>
            <w:r>
              <w:rPr>
                <w:rFonts w:hint="eastAsia" w:ascii="仿宋" w:hAnsi="仿宋" w:eastAsia="仿宋" w:cs="仿宋"/>
                <w:color w:val="000000"/>
                <w:kern w:val="0"/>
              </w:rPr>
              <w:t>变动率</w:t>
            </w:r>
            <w:r>
              <w:rPr>
                <w:rFonts w:ascii="仿宋_GB2312" w:hAnsi="新宋体" w:eastAsia="仿宋_GB2312" w:cs="仿宋_GB2312"/>
                <w:kern w:val="0"/>
              </w:rPr>
              <w:t>]/[max</w:t>
            </w:r>
            <w:r>
              <w:rPr>
                <w:rFonts w:hint="eastAsia" w:ascii="仿宋_GB2312" w:hAnsi="新宋体" w:eastAsia="仿宋_GB2312" w:cs="仿宋_GB2312"/>
                <w:kern w:val="0"/>
              </w:rPr>
              <w:t>（</w:t>
            </w:r>
            <w:r>
              <w:rPr>
                <w:rFonts w:hint="eastAsia" w:ascii="仿宋" w:hAnsi="仿宋" w:eastAsia="仿宋" w:cs="仿宋"/>
                <w:color w:val="000000"/>
                <w:kern w:val="0"/>
                <w:lang w:eastAsia="zh-CN"/>
              </w:rPr>
              <w:t>“三公”经费</w:t>
            </w:r>
            <w:r>
              <w:rPr>
                <w:rFonts w:hint="eastAsia" w:ascii="仿宋" w:hAnsi="仿宋" w:eastAsia="仿宋" w:cs="仿宋"/>
                <w:color w:val="000000"/>
                <w:kern w:val="0"/>
              </w:rPr>
              <w:t>变动率</w:t>
            </w:r>
            <w:r>
              <w:rPr>
                <w:rFonts w:hint="eastAsia" w:ascii="仿宋_GB2312" w:hAnsi="新宋体" w:eastAsia="仿宋_GB2312" w:cs="仿宋_GB2312"/>
                <w:kern w:val="0"/>
              </w:rPr>
              <w:t>）－</w:t>
            </w:r>
            <w:r>
              <w:rPr>
                <w:rFonts w:ascii="仿宋_GB2312" w:hAnsi="新宋体" w:eastAsia="仿宋_GB2312" w:cs="仿宋_GB2312"/>
                <w:kern w:val="0"/>
              </w:rPr>
              <w:t>min</w:t>
            </w:r>
            <w:r>
              <w:rPr>
                <w:rFonts w:hint="eastAsia" w:ascii="仿宋_GB2312" w:hAnsi="新宋体" w:eastAsia="仿宋_GB2312" w:cs="仿宋_GB2312"/>
                <w:kern w:val="0"/>
              </w:rPr>
              <w:t>（</w:t>
            </w:r>
            <w:r>
              <w:rPr>
                <w:rFonts w:hint="eastAsia" w:ascii="仿宋" w:hAnsi="仿宋" w:eastAsia="仿宋" w:cs="仿宋"/>
                <w:color w:val="000000"/>
                <w:kern w:val="0"/>
                <w:lang w:eastAsia="zh-CN"/>
              </w:rPr>
              <w:t>“三公”经费</w:t>
            </w:r>
            <w:r>
              <w:rPr>
                <w:rFonts w:hint="eastAsia" w:ascii="仿宋" w:hAnsi="仿宋" w:eastAsia="仿宋" w:cs="仿宋"/>
                <w:color w:val="000000"/>
                <w:kern w:val="0"/>
              </w:rPr>
              <w:t>变动率</w:t>
            </w:r>
            <w:r>
              <w:rPr>
                <w:rFonts w:hint="eastAsia" w:ascii="仿宋_GB2312" w:hAnsi="新宋体" w:eastAsia="仿宋_GB2312" w:cs="仿宋_GB2312"/>
                <w:kern w:val="0"/>
              </w:rPr>
              <w:t>）</w:t>
            </w:r>
            <w:r>
              <w:rPr>
                <w:rFonts w:ascii="仿宋_GB2312" w:hAnsi="新宋体" w:eastAsia="仿宋_GB2312" w:cs="仿宋_GB2312"/>
                <w:kern w:val="0"/>
              </w:rPr>
              <w:t>]</w:t>
            </w:r>
            <w:r>
              <w:rPr>
                <w:rFonts w:hint="eastAsia" w:ascii="仿宋_GB2312" w:hAnsi="新宋体" w:eastAsia="仿宋_GB2312" w:cs="仿宋_GB2312"/>
                <w:kern w:val="0"/>
              </w:rPr>
              <w:t>×该指标分值。</w:t>
            </w:r>
          </w:p>
        </w:tc>
        <w:tc>
          <w:tcPr>
            <w:tcW w:w="765" w:type="dxa"/>
            <w:tcBorders>
              <w:top w:val="single" w:color="auto" w:sz="4" w:space="0"/>
              <w:left w:val="single" w:color="auto" w:sz="4" w:space="0"/>
            </w:tcBorders>
            <w:vAlign w:val="center"/>
          </w:tcPr>
          <w:p w14:paraId="61A55A68">
            <w:pPr>
              <w:widowControl/>
              <w:spacing w:line="240" w:lineRule="exact"/>
              <w:jc w:val="center"/>
            </w:pPr>
            <w:r>
              <w:t>2</w:t>
            </w:r>
          </w:p>
        </w:tc>
      </w:tr>
      <w:tr w14:paraId="7E8FB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95" w:type="dxa"/>
            <w:vMerge w:val="continue"/>
            <w:vAlign w:val="center"/>
          </w:tcPr>
          <w:p w14:paraId="1CAE56AA">
            <w:pPr>
              <w:spacing w:line="240" w:lineRule="exact"/>
              <w:rPr>
                <w:rFonts w:ascii="宋体" w:cs="Times New Roman"/>
              </w:rPr>
            </w:pPr>
          </w:p>
        </w:tc>
        <w:tc>
          <w:tcPr>
            <w:tcW w:w="765" w:type="dxa"/>
            <w:vMerge w:val="continue"/>
            <w:vAlign w:val="center"/>
          </w:tcPr>
          <w:p w14:paraId="4C5DE0B5">
            <w:pPr>
              <w:widowControl/>
              <w:spacing w:line="240" w:lineRule="exact"/>
              <w:jc w:val="left"/>
              <w:rPr>
                <w:rFonts w:ascii="仿宋_GB2312" w:hAnsi="新宋体" w:eastAsia="仿宋_GB2312" w:cs="Times New Roman"/>
                <w:kern w:val="0"/>
              </w:rPr>
            </w:pPr>
          </w:p>
        </w:tc>
        <w:tc>
          <w:tcPr>
            <w:tcW w:w="990" w:type="dxa"/>
            <w:tcBorders>
              <w:top w:val="single" w:color="auto" w:sz="4" w:space="0"/>
              <w:right w:val="single" w:color="auto" w:sz="4" w:space="0"/>
            </w:tcBorders>
            <w:vAlign w:val="center"/>
          </w:tcPr>
          <w:p w14:paraId="0CC4860A">
            <w:pPr>
              <w:widowControl/>
              <w:spacing w:line="240" w:lineRule="exact"/>
              <w:jc w:val="left"/>
              <w:textAlignment w:val="center"/>
              <w:rPr>
                <w:rFonts w:ascii="仿宋" w:hAnsi="仿宋" w:eastAsia="仿宋" w:cs="Times New Roman"/>
                <w:kern w:val="0"/>
              </w:rPr>
            </w:pPr>
            <w:r>
              <w:rPr>
                <w:rFonts w:hint="eastAsia" w:ascii="仿宋" w:hAnsi="仿宋" w:eastAsia="仿宋" w:cs="仿宋"/>
                <w:color w:val="000000"/>
                <w:kern w:val="0"/>
              </w:rPr>
              <w:t>重点支出安排率（</w:t>
            </w:r>
            <w:r>
              <w:rPr>
                <w:rFonts w:ascii="仿宋" w:hAnsi="仿宋" w:eastAsia="仿宋" w:cs="仿宋"/>
                <w:color w:val="000000"/>
                <w:kern w:val="0"/>
              </w:rPr>
              <w:t>2</w:t>
            </w:r>
            <w:r>
              <w:rPr>
                <w:rFonts w:hint="eastAsia" w:ascii="仿宋" w:hAnsi="仿宋" w:eastAsia="仿宋" w:cs="仿宋"/>
                <w:color w:val="000000"/>
                <w:kern w:val="0"/>
              </w:rPr>
              <w:t>分）</w:t>
            </w:r>
          </w:p>
        </w:tc>
        <w:tc>
          <w:tcPr>
            <w:tcW w:w="3975" w:type="dxa"/>
            <w:tcBorders>
              <w:top w:val="single" w:color="auto" w:sz="4" w:space="0"/>
              <w:left w:val="single" w:color="auto" w:sz="4" w:space="0"/>
              <w:right w:val="single" w:color="auto" w:sz="4" w:space="0"/>
            </w:tcBorders>
            <w:vAlign w:val="center"/>
          </w:tcPr>
          <w:p w14:paraId="471DDEC7">
            <w:pPr>
              <w:widowControl/>
              <w:spacing w:line="240" w:lineRule="exact"/>
              <w:jc w:val="left"/>
              <w:textAlignment w:val="center"/>
              <w:rPr>
                <w:rFonts w:ascii="仿宋" w:hAnsi="仿宋" w:eastAsia="仿宋" w:cs="Times New Roman"/>
                <w:kern w:val="0"/>
              </w:rPr>
            </w:pPr>
            <w:r>
              <w:rPr>
                <w:rFonts w:hint="eastAsia" w:ascii="仿宋" w:hAnsi="仿宋" w:eastAsia="仿宋" w:cs="仿宋"/>
                <w:color w:val="000000"/>
                <w:kern w:val="0"/>
              </w:rPr>
              <w:t>部门本年度预算安排的重点项目支出与部门项目总支出的比率，用以反映和考核部门对履行主要职责或完成重点任务的保障程度。重点支出安排率</w:t>
            </w:r>
            <w:r>
              <w:rPr>
                <w:rFonts w:ascii="仿宋" w:hAnsi="仿宋" w:eastAsia="仿宋" w:cs="仿宋"/>
                <w:color w:val="000000"/>
                <w:kern w:val="0"/>
              </w:rPr>
              <w:t>=</w:t>
            </w:r>
            <w:r>
              <w:rPr>
                <w:rFonts w:hint="eastAsia" w:ascii="仿宋" w:hAnsi="仿宋" w:eastAsia="仿宋" w:cs="仿宋"/>
                <w:color w:val="000000"/>
                <w:kern w:val="0"/>
              </w:rPr>
              <w:t>（重点项目支出</w:t>
            </w:r>
            <w:r>
              <w:rPr>
                <w:rFonts w:ascii="仿宋" w:hAnsi="仿宋" w:eastAsia="仿宋" w:cs="仿宋"/>
                <w:color w:val="000000"/>
                <w:kern w:val="0"/>
              </w:rPr>
              <w:t>/</w:t>
            </w:r>
            <w:r>
              <w:rPr>
                <w:rFonts w:hint="eastAsia" w:ascii="仿宋" w:hAnsi="仿宋" w:eastAsia="仿宋" w:cs="仿宋"/>
                <w:color w:val="000000"/>
                <w:kern w:val="0"/>
              </w:rPr>
              <w:t>项目总支出）×</w:t>
            </w:r>
            <w:r>
              <w:rPr>
                <w:rFonts w:ascii="仿宋" w:hAnsi="仿宋" w:eastAsia="仿宋" w:cs="仿宋"/>
                <w:color w:val="000000"/>
                <w:kern w:val="0"/>
              </w:rPr>
              <w:t>100%</w:t>
            </w:r>
            <w:r>
              <w:rPr>
                <w:rFonts w:hint="eastAsia" w:ascii="仿宋" w:hAnsi="仿宋" w:eastAsia="仿宋" w:cs="仿宋"/>
                <w:color w:val="000000"/>
                <w:kern w:val="0"/>
              </w:rPr>
              <w:t>。</w:t>
            </w:r>
            <w:r>
              <w:rPr>
                <w:rFonts w:ascii="仿宋" w:hAnsi="仿宋" w:eastAsia="仿宋" w:cs="Times New Roman"/>
                <w:color w:val="000000"/>
                <w:kern w:val="0"/>
              </w:rPr>
              <w:br w:type="textWrapping"/>
            </w:r>
            <w:r>
              <w:rPr>
                <w:rFonts w:hint="eastAsia" w:ascii="仿宋" w:hAnsi="仿宋" w:eastAsia="仿宋" w:cs="仿宋"/>
                <w:color w:val="000000"/>
                <w:kern w:val="0"/>
              </w:rPr>
              <w:t>重点项目支出：部门（单位）年度预算安排的，与本部门履职和发展密切相关、具有明显社会和经济影响、党委政府关心或社会比较关注的项目支出总额。</w:t>
            </w:r>
            <w:r>
              <w:rPr>
                <w:rFonts w:ascii="仿宋" w:hAnsi="仿宋" w:eastAsia="仿宋" w:cs="Times New Roman"/>
                <w:color w:val="000000"/>
                <w:kern w:val="0"/>
              </w:rPr>
              <w:br w:type="textWrapping"/>
            </w:r>
            <w:r>
              <w:rPr>
                <w:rFonts w:hint="eastAsia" w:ascii="仿宋" w:hAnsi="仿宋" w:eastAsia="仿宋" w:cs="仿宋"/>
                <w:color w:val="000000"/>
                <w:kern w:val="0"/>
              </w:rPr>
              <w:t>项目总支出：部门（单位）年度预算安排的项目支出总额。</w:t>
            </w:r>
          </w:p>
        </w:tc>
        <w:tc>
          <w:tcPr>
            <w:tcW w:w="2550" w:type="dxa"/>
            <w:tcBorders>
              <w:top w:val="single" w:color="auto" w:sz="4" w:space="0"/>
              <w:left w:val="single" w:color="auto" w:sz="4" w:space="0"/>
              <w:right w:val="single" w:color="auto" w:sz="4" w:space="0"/>
            </w:tcBorders>
            <w:vAlign w:val="center"/>
          </w:tcPr>
          <w:p w14:paraId="4C1F8D79">
            <w:pPr>
              <w:widowControl/>
              <w:spacing w:line="240" w:lineRule="exact"/>
              <w:jc w:val="left"/>
              <w:rPr>
                <w:rFonts w:cs="Times New Roman"/>
              </w:rPr>
            </w:pPr>
            <w:r>
              <w:rPr>
                <w:rFonts w:ascii="仿宋_GB2312" w:hAnsi="新宋体" w:eastAsia="仿宋_GB2312" w:cs="仿宋_GB2312"/>
                <w:kern w:val="0"/>
              </w:rPr>
              <w:t>1.</w:t>
            </w:r>
            <w:r>
              <w:rPr>
                <w:rFonts w:hint="eastAsia" w:ascii="仿宋" w:hAnsi="仿宋" w:eastAsia="仿宋" w:cs="仿宋"/>
                <w:color w:val="000000"/>
                <w:kern w:val="0"/>
              </w:rPr>
              <w:t>重点支出安排率</w:t>
            </w:r>
            <w:r>
              <w:rPr>
                <w:rFonts w:hint="eastAsia" w:ascii="仿宋_GB2312" w:hAnsi="新宋体" w:eastAsia="仿宋_GB2312" w:cs="仿宋_GB2312"/>
                <w:kern w:val="0"/>
              </w:rPr>
              <w:t>大于或等于</w:t>
            </w:r>
            <w:r>
              <w:rPr>
                <w:rFonts w:ascii="仿宋_GB2312" w:hAnsi="新宋体" w:eastAsia="仿宋_GB2312" w:cs="仿宋_GB2312"/>
                <w:kern w:val="0"/>
              </w:rPr>
              <w:t>95%</w:t>
            </w:r>
            <w:r>
              <w:rPr>
                <w:rFonts w:hint="eastAsia" w:ascii="仿宋_GB2312" w:hAnsi="新宋体" w:eastAsia="仿宋_GB2312" w:cs="仿宋_GB2312"/>
                <w:kern w:val="0"/>
              </w:rPr>
              <w:t>的，得满分；</w:t>
            </w:r>
          </w:p>
          <w:p w14:paraId="76BA80E3">
            <w:pPr>
              <w:widowControl/>
              <w:spacing w:line="240" w:lineRule="exact"/>
              <w:jc w:val="left"/>
              <w:rPr>
                <w:rFonts w:cs="Times New Roman"/>
              </w:rPr>
            </w:pPr>
            <w:r>
              <w:rPr>
                <w:rFonts w:ascii="仿宋_GB2312" w:hAnsi="新宋体" w:eastAsia="仿宋_GB2312" w:cs="仿宋_GB2312"/>
                <w:kern w:val="0"/>
              </w:rPr>
              <w:t>2.</w:t>
            </w:r>
            <w:r>
              <w:rPr>
                <w:rFonts w:hint="eastAsia" w:ascii="仿宋" w:hAnsi="仿宋" w:eastAsia="仿宋" w:cs="仿宋"/>
                <w:color w:val="000000"/>
                <w:kern w:val="0"/>
              </w:rPr>
              <w:t>重点支出安排率</w:t>
            </w:r>
            <w:r>
              <w:rPr>
                <w:rFonts w:hint="eastAsia" w:ascii="仿宋_GB2312" w:hAnsi="新宋体" w:eastAsia="仿宋_GB2312" w:cs="仿宋_GB2312"/>
                <w:kern w:val="0"/>
              </w:rPr>
              <w:t>小于或等于</w:t>
            </w:r>
            <w:r>
              <w:rPr>
                <w:rFonts w:ascii="仿宋_GB2312" w:hAnsi="新宋体" w:eastAsia="仿宋_GB2312" w:cs="仿宋_GB2312"/>
                <w:kern w:val="0"/>
              </w:rPr>
              <w:t>85%</w:t>
            </w:r>
            <w:r>
              <w:rPr>
                <w:rFonts w:hint="eastAsia" w:ascii="仿宋_GB2312" w:hAnsi="新宋体" w:eastAsia="仿宋_GB2312" w:cs="仿宋_GB2312"/>
                <w:kern w:val="0"/>
              </w:rPr>
              <w:t>的，得</w:t>
            </w:r>
            <w:r>
              <w:rPr>
                <w:rFonts w:ascii="仿宋_GB2312" w:hAnsi="新宋体" w:eastAsia="仿宋_GB2312" w:cs="仿宋_GB2312"/>
                <w:kern w:val="0"/>
              </w:rPr>
              <w:t>0</w:t>
            </w:r>
            <w:r>
              <w:rPr>
                <w:rFonts w:hint="eastAsia" w:ascii="仿宋_GB2312" w:hAnsi="新宋体" w:eastAsia="仿宋_GB2312" w:cs="仿宋_GB2312"/>
                <w:kern w:val="0"/>
              </w:rPr>
              <w:t>分；</w:t>
            </w:r>
          </w:p>
          <w:p w14:paraId="0FB9A719">
            <w:pPr>
              <w:widowControl/>
              <w:spacing w:line="240" w:lineRule="exact"/>
              <w:jc w:val="left"/>
              <w:rPr>
                <w:rFonts w:cs="Times New Roman"/>
              </w:rPr>
            </w:pPr>
            <w:r>
              <w:rPr>
                <w:rFonts w:ascii="仿宋_GB2312" w:hAnsi="新宋体" w:eastAsia="仿宋_GB2312" w:cs="仿宋_GB2312"/>
                <w:kern w:val="0"/>
              </w:rPr>
              <w:t>3.</w:t>
            </w:r>
            <w:r>
              <w:rPr>
                <w:rFonts w:hint="eastAsia" w:ascii="仿宋" w:hAnsi="仿宋" w:eastAsia="仿宋" w:cs="仿宋"/>
                <w:color w:val="000000"/>
                <w:kern w:val="0"/>
              </w:rPr>
              <w:t>重点支出安排率</w:t>
            </w:r>
            <w:r>
              <w:rPr>
                <w:rFonts w:hint="eastAsia" w:ascii="仿宋_GB2312" w:hAnsi="新宋体" w:eastAsia="仿宋_GB2312" w:cs="仿宋_GB2312"/>
                <w:kern w:val="0"/>
              </w:rPr>
              <w:t>在</w:t>
            </w:r>
            <w:r>
              <w:rPr>
                <w:rFonts w:ascii="仿宋_GB2312" w:hAnsi="新宋体" w:eastAsia="仿宋_GB2312" w:cs="仿宋_GB2312"/>
                <w:kern w:val="0"/>
              </w:rPr>
              <w:t>85%-95%</w:t>
            </w:r>
            <w:r>
              <w:rPr>
                <w:rFonts w:hint="eastAsia" w:ascii="仿宋_GB2312" w:hAnsi="新宋体" w:eastAsia="仿宋_GB2312" w:cs="仿宋_GB2312"/>
                <w:kern w:val="0"/>
              </w:rPr>
              <w:t>之间的，在</w:t>
            </w:r>
            <w:r>
              <w:rPr>
                <w:rFonts w:ascii="仿宋_GB2312" w:hAnsi="新宋体" w:eastAsia="仿宋_GB2312" w:cs="仿宋_GB2312"/>
                <w:kern w:val="0"/>
              </w:rPr>
              <w:t>0</w:t>
            </w:r>
            <w:r>
              <w:rPr>
                <w:rFonts w:hint="eastAsia" w:ascii="仿宋_GB2312" w:hAnsi="新宋体" w:eastAsia="仿宋_GB2312" w:cs="仿宋_GB2312"/>
                <w:kern w:val="0"/>
              </w:rPr>
              <w:t>分和满分之间计算确定：</w:t>
            </w:r>
          </w:p>
          <w:p w14:paraId="37FE9052">
            <w:pPr>
              <w:widowControl/>
              <w:spacing w:line="240" w:lineRule="exact"/>
              <w:jc w:val="left"/>
              <w:textAlignment w:val="center"/>
              <w:rPr>
                <w:rFonts w:ascii="仿宋" w:hAnsi="仿宋" w:eastAsia="仿宋" w:cs="Times New Roman"/>
                <w:kern w:val="0"/>
              </w:rPr>
            </w:pPr>
            <w:r>
              <w:rPr>
                <w:rFonts w:hint="eastAsia" w:ascii="仿宋_GB2312" w:hAnsi="新宋体" w:eastAsia="仿宋_GB2312" w:cs="仿宋_GB2312"/>
                <w:kern w:val="0"/>
              </w:rPr>
              <w:t>得分</w:t>
            </w:r>
            <w:r>
              <w:rPr>
                <w:rFonts w:ascii="仿宋_GB2312" w:hAnsi="新宋体" w:eastAsia="仿宋_GB2312" w:cs="仿宋_GB2312"/>
                <w:kern w:val="0"/>
              </w:rPr>
              <w:t>=[</w:t>
            </w:r>
            <w:r>
              <w:rPr>
                <w:rFonts w:hint="eastAsia" w:ascii="仿宋_GB2312" w:hAnsi="新宋体" w:eastAsia="仿宋_GB2312" w:cs="仿宋_GB2312"/>
                <w:kern w:val="0"/>
              </w:rPr>
              <w:t>某部门</w:t>
            </w:r>
            <w:r>
              <w:rPr>
                <w:rFonts w:hint="eastAsia" w:ascii="仿宋" w:hAnsi="仿宋" w:eastAsia="仿宋" w:cs="仿宋"/>
                <w:color w:val="000000"/>
                <w:kern w:val="0"/>
              </w:rPr>
              <w:t>重点支出安排率</w:t>
            </w:r>
            <w:r>
              <w:rPr>
                <w:rFonts w:ascii="仿宋_GB2312" w:hAnsi="新宋体" w:eastAsia="仿宋_GB2312" w:cs="仿宋_GB2312"/>
                <w:kern w:val="0"/>
              </w:rPr>
              <w:t>-min</w:t>
            </w:r>
            <w:r>
              <w:rPr>
                <w:rFonts w:hint="eastAsia" w:ascii="仿宋_GB2312" w:hAnsi="新宋体" w:eastAsia="仿宋_GB2312" w:cs="仿宋_GB2312"/>
                <w:kern w:val="0"/>
              </w:rPr>
              <w:t>（</w:t>
            </w:r>
            <w:r>
              <w:rPr>
                <w:rFonts w:hint="eastAsia" w:ascii="仿宋" w:hAnsi="仿宋" w:eastAsia="仿宋" w:cs="仿宋"/>
                <w:color w:val="000000"/>
                <w:kern w:val="0"/>
              </w:rPr>
              <w:t>重点支出安排率</w:t>
            </w:r>
            <w:r>
              <w:rPr>
                <w:rFonts w:hint="eastAsia" w:ascii="仿宋_GB2312" w:hAnsi="新宋体" w:eastAsia="仿宋_GB2312" w:cs="仿宋_GB2312"/>
                <w:kern w:val="0"/>
              </w:rPr>
              <w:t>）</w:t>
            </w:r>
            <w:r>
              <w:rPr>
                <w:rFonts w:ascii="仿宋_GB2312" w:hAnsi="新宋体" w:eastAsia="仿宋_GB2312" w:cs="仿宋_GB2312"/>
                <w:kern w:val="0"/>
              </w:rPr>
              <w:t>]/[max</w:t>
            </w:r>
            <w:r>
              <w:rPr>
                <w:rFonts w:hint="eastAsia" w:ascii="仿宋_GB2312" w:hAnsi="新宋体" w:eastAsia="仿宋_GB2312" w:cs="仿宋_GB2312"/>
                <w:kern w:val="0"/>
              </w:rPr>
              <w:t>（</w:t>
            </w:r>
            <w:r>
              <w:rPr>
                <w:rFonts w:hint="eastAsia" w:ascii="仿宋" w:hAnsi="仿宋" w:eastAsia="仿宋" w:cs="仿宋"/>
                <w:color w:val="000000"/>
                <w:kern w:val="0"/>
              </w:rPr>
              <w:t>重点支出安排率</w:t>
            </w:r>
            <w:r>
              <w:rPr>
                <w:rFonts w:hint="eastAsia" w:ascii="仿宋_GB2312" w:hAnsi="新宋体" w:eastAsia="仿宋_GB2312" w:cs="仿宋_GB2312"/>
                <w:kern w:val="0"/>
              </w:rPr>
              <w:t>）－</w:t>
            </w:r>
            <w:r>
              <w:rPr>
                <w:rFonts w:ascii="仿宋_GB2312" w:hAnsi="新宋体" w:eastAsia="仿宋_GB2312" w:cs="仿宋_GB2312"/>
                <w:kern w:val="0"/>
              </w:rPr>
              <w:t>min</w:t>
            </w:r>
            <w:r>
              <w:rPr>
                <w:rFonts w:hint="eastAsia" w:ascii="仿宋_GB2312" w:hAnsi="新宋体" w:eastAsia="仿宋_GB2312" w:cs="仿宋_GB2312"/>
                <w:kern w:val="0"/>
              </w:rPr>
              <w:t>（</w:t>
            </w:r>
            <w:r>
              <w:rPr>
                <w:rFonts w:hint="eastAsia" w:ascii="仿宋" w:hAnsi="仿宋" w:eastAsia="仿宋" w:cs="仿宋"/>
                <w:color w:val="000000"/>
                <w:kern w:val="0"/>
              </w:rPr>
              <w:t>重点支出安排率</w:t>
            </w:r>
            <w:r>
              <w:rPr>
                <w:rFonts w:hint="eastAsia" w:ascii="仿宋_GB2312" w:hAnsi="新宋体" w:eastAsia="仿宋_GB2312" w:cs="仿宋_GB2312"/>
                <w:kern w:val="0"/>
              </w:rPr>
              <w:t>）</w:t>
            </w:r>
            <w:r>
              <w:rPr>
                <w:rFonts w:ascii="仿宋_GB2312" w:hAnsi="新宋体" w:eastAsia="仿宋_GB2312" w:cs="仿宋_GB2312"/>
                <w:kern w:val="0"/>
              </w:rPr>
              <w:t>]</w:t>
            </w:r>
            <w:r>
              <w:rPr>
                <w:rFonts w:hint="eastAsia" w:ascii="仿宋_GB2312" w:hAnsi="新宋体" w:eastAsia="仿宋_GB2312" w:cs="仿宋_GB2312"/>
                <w:kern w:val="0"/>
              </w:rPr>
              <w:t>×该指标分值。</w:t>
            </w:r>
          </w:p>
        </w:tc>
        <w:tc>
          <w:tcPr>
            <w:tcW w:w="765" w:type="dxa"/>
            <w:tcBorders>
              <w:top w:val="single" w:color="auto" w:sz="4" w:space="0"/>
              <w:left w:val="single" w:color="auto" w:sz="4" w:space="0"/>
            </w:tcBorders>
            <w:vAlign w:val="center"/>
          </w:tcPr>
          <w:p w14:paraId="3102F45F">
            <w:pPr>
              <w:widowControl/>
              <w:spacing w:line="240" w:lineRule="exact"/>
              <w:jc w:val="center"/>
            </w:pPr>
            <w:r>
              <w:t>2</w:t>
            </w:r>
          </w:p>
        </w:tc>
      </w:tr>
      <w:tr w14:paraId="6234F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95" w:type="dxa"/>
            <w:vMerge w:val="restart"/>
            <w:vAlign w:val="center"/>
          </w:tcPr>
          <w:p w14:paraId="134E0226">
            <w:pPr>
              <w:widowControl/>
              <w:spacing w:line="240" w:lineRule="exact"/>
              <w:jc w:val="left"/>
              <w:rPr>
                <w:rFonts w:cs="Times New Roman"/>
              </w:rPr>
            </w:pPr>
            <w:r>
              <w:rPr>
                <w:rFonts w:hint="eastAsia" w:ascii="仿宋_GB2312" w:hAnsi="新宋体" w:eastAsia="仿宋_GB2312" w:cs="仿宋_GB2312"/>
                <w:kern w:val="0"/>
              </w:rPr>
              <w:t>过程</w:t>
            </w:r>
            <w:r>
              <w:rPr>
                <w:rFonts w:ascii="仿宋_GB2312" w:hAnsi="新宋体" w:eastAsia="仿宋_GB2312" w:cs="仿宋_GB2312"/>
                <w:kern w:val="0"/>
              </w:rPr>
              <w:t>(45</w:t>
            </w:r>
            <w:r>
              <w:rPr>
                <w:rFonts w:hint="eastAsia" w:ascii="仿宋_GB2312" w:hAnsi="新宋体" w:eastAsia="仿宋_GB2312" w:cs="仿宋_GB2312"/>
                <w:kern w:val="0"/>
              </w:rPr>
              <w:t>分</w:t>
            </w:r>
            <w:r>
              <w:rPr>
                <w:rFonts w:ascii="仿宋_GB2312" w:hAnsi="新宋体" w:eastAsia="仿宋_GB2312" w:cs="仿宋_GB2312"/>
                <w:kern w:val="0"/>
              </w:rPr>
              <w:t>)</w:t>
            </w:r>
          </w:p>
        </w:tc>
        <w:tc>
          <w:tcPr>
            <w:tcW w:w="765" w:type="dxa"/>
            <w:vMerge w:val="restart"/>
            <w:vAlign w:val="center"/>
          </w:tcPr>
          <w:p w14:paraId="6E009382">
            <w:pPr>
              <w:widowControl/>
              <w:spacing w:line="240" w:lineRule="exact"/>
              <w:jc w:val="left"/>
              <w:rPr>
                <w:rFonts w:cs="Times New Roman"/>
              </w:rPr>
            </w:pPr>
            <w:r>
              <w:rPr>
                <w:rFonts w:hint="eastAsia" w:ascii="仿宋_GB2312" w:hAnsi="新宋体" w:eastAsia="仿宋_GB2312" w:cs="仿宋_GB2312"/>
                <w:kern w:val="0"/>
              </w:rPr>
              <w:t>预算执行情况</w:t>
            </w:r>
            <w:r>
              <w:rPr>
                <w:rFonts w:ascii="仿宋_GB2312" w:hAnsi="新宋体" w:eastAsia="仿宋_GB2312" w:cs="仿宋_GB2312"/>
                <w:kern w:val="0"/>
              </w:rPr>
              <w:t>(25</w:t>
            </w:r>
            <w:r>
              <w:rPr>
                <w:rFonts w:hint="eastAsia" w:ascii="仿宋_GB2312" w:hAnsi="新宋体" w:eastAsia="仿宋_GB2312" w:cs="仿宋_GB2312"/>
                <w:kern w:val="0"/>
              </w:rPr>
              <w:t>分</w:t>
            </w:r>
            <w:r>
              <w:rPr>
                <w:rFonts w:ascii="仿宋_GB2312" w:hAnsi="新宋体" w:eastAsia="仿宋_GB2312" w:cs="仿宋_GB2312"/>
                <w:kern w:val="0"/>
              </w:rPr>
              <w:t>)</w:t>
            </w:r>
          </w:p>
        </w:tc>
        <w:tc>
          <w:tcPr>
            <w:tcW w:w="990" w:type="dxa"/>
            <w:tcBorders>
              <w:right w:val="single" w:color="auto" w:sz="4" w:space="0"/>
            </w:tcBorders>
            <w:vAlign w:val="center"/>
          </w:tcPr>
          <w:p w14:paraId="3017F7CB">
            <w:pPr>
              <w:widowControl/>
              <w:spacing w:line="240" w:lineRule="exact"/>
              <w:jc w:val="left"/>
              <w:rPr>
                <w:rFonts w:cs="Times New Roman"/>
              </w:rPr>
            </w:pPr>
            <w:r>
              <w:rPr>
                <w:rFonts w:hint="eastAsia" w:ascii="仿宋_GB2312" w:hAnsi="新宋体" w:eastAsia="仿宋_GB2312" w:cs="仿宋_GB2312"/>
                <w:kern w:val="0"/>
              </w:rPr>
              <w:t>预算完成率（</w:t>
            </w:r>
            <w:r>
              <w:rPr>
                <w:rFonts w:ascii="仿宋_GB2312" w:hAnsi="新宋体" w:eastAsia="仿宋_GB2312" w:cs="仿宋_GB2312"/>
                <w:kern w:val="0"/>
              </w:rPr>
              <w:t>5</w:t>
            </w:r>
            <w:r>
              <w:rPr>
                <w:rFonts w:hint="eastAsia" w:ascii="仿宋_GB2312" w:hAnsi="新宋体" w:eastAsia="仿宋_GB2312" w:cs="仿宋_GB2312"/>
                <w:kern w:val="0"/>
              </w:rPr>
              <w:t>分）</w:t>
            </w:r>
          </w:p>
        </w:tc>
        <w:tc>
          <w:tcPr>
            <w:tcW w:w="3975" w:type="dxa"/>
            <w:tcBorders>
              <w:left w:val="single" w:color="auto" w:sz="4" w:space="0"/>
              <w:right w:val="single" w:color="auto" w:sz="4" w:space="0"/>
            </w:tcBorders>
            <w:vAlign w:val="center"/>
          </w:tcPr>
          <w:p w14:paraId="1E71B34A">
            <w:pPr>
              <w:widowControl/>
              <w:spacing w:line="240" w:lineRule="exact"/>
              <w:jc w:val="left"/>
              <w:rPr>
                <w:rFonts w:cs="Times New Roman"/>
              </w:rPr>
            </w:pPr>
            <w:r>
              <w:rPr>
                <w:rFonts w:hint="eastAsia" w:ascii="仿宋_GB2312" w:hAnsi="新宋体" w:eastAsia="仿宋_GB2312" w:cs="仿宋_GB2312"/>
                <w:kern w:val="0"/>
              </w:rPr>
              <w:t>通过对部门本年度预算完成数与预算数的比较，反映和评价部门预算的完成程度。</w:t>
            </w:r>
          </w:p>
          <w:p w14:paraId="1102AFBE">
            <w:pPr>
              <w:widowControl/>
              <w:spacing w:line="240" w:lineRule="exact"/>
              <w:jc w:val="left"/>
              <w:rPr>
                <w:rFonts w:cs="Times New Roman"/>
              </w:rPr>
            </w:pPr>
            <w:r>
              <w:rPr>
                <w:rFonts w:hint="eastAsia" w:ascii="仿宋_GB2312" w:hAnsi="新宋体" w:eastAsia="仿宋_GB2312" w:cs="仿宋_GB2312"/>
                <w:kern w:val="0"/>
              </w:rPr>
              <w:t>预算完成率</w:t>
            </w:r>
            <w:r>
              <w:rPr>
                <w:rFonts w:ascii="仿宋_GB2312" w:hAnsi="新宋体" w:eastAsia="仿宋_GB2312" w:cs="仿宋_GB2312"/>
                <w:kern w:val="0"/>
              </w:rPr>
              <w:t>=</w:t>
            </w:r>
            <w:r>
              <w:rPr>
                <w:rFonts w:hint="eastAsia" w:ascii="仿宋_GB2312" w:hAnsi="新宋体" w:eastAsia="仿宋_GB2312" w:cs="仿宋_GB2312"/>
                <w:kern w:val="0"/>
              </w:rPr>
              <w:t>（预算完成数</w:t>
            </w:r>
            <w:r>
              <w:rPr>
                <w:rFonts w:ascii="仿宋_GB2312" w:hAnsi="新宋体" w:eastAsia="仿宋_GB2312" w:cs="仿宋_GB2312"/>
                <w:kern w:val="0"/>
              </w:rPr>
              <w:t>/</w:t>
            </w:r>
            <w:r>
              <w:rPr>
                <w:rFonts w:hint="eastAsia" w:ascii="仿宋_GB2312" w:hAnsi="新宋体" w:eastAsia="仿宋_GB2312" w:cs="仿宋_GB2312"/>
                <w:kern w:val="0"/>
              </w:rPr>
              <w:t>预算数）×</w:t>
            </w:r>
            <w:r>
              <w:rPr>
                <w:rFonts w:ascii="仿宋_GB2312" w:hAnsi="新宋体" w:eastAsia="仿宋_GB2312" w:cs="仿宋_GB2312"/>
                <w:kern w:val="0"/>
              </w:rPr>
              <w:t>100%</w:t>
            </w:r>
            <w:r>
              <w:rPr>
                <w:rFonts w:hint="eastAsia" w:ascii="仿宋_GB2312" w:hAnsi="新宋体" w:eastAsia="仿宋_GB2312" w:cs="仿宋_GB2312"/>
                <w:kern w:val="0"/>
              </w:rPr>
              <w:t>。</w:t>
            </w:r>
          </w:p>
        </w:tc>
        <w:tc>
          <w:tcPr>
            <w:tcW w:w="2550" w:type="dxa"/>
            <w:tcBorders>
              <w:left w:val="single" w:color="auto" w:sz="4" w:space="0"/>
              <w:right w:val="single" w:color="auto" w:sz="4" w:space="0"/>
            </w:tcBorders>
            <w:vAlign w:val="center"/>
          </w:tcPr>
          <w:p w14:paraId="796C618B">
            <w:pPr>
              <w:widowControl/>
              <w:spacing w:line="240" w:lineRule="exact"/>
              <w:jc w:val="left"/>
              <w:rPr>
                <w:rFonts w:cs="Times New Roman"/>
              </w:rPr>
            </w:pPr>
            <w:r>
              <w:rPr>
                <w:rFonts w:ascii="仿宋_GB2312" w:hAnsi="新宋体" w:eastAsia="仿宋_GB2312" w:cs="仿宋_GB2312"/>
                <w:kern w:val="0"/>
              </w:rPr>
              <w:t>1.</w:t>
            </w:r>
            <w:r>
              <w:rPr>
                <w:rFonts w:hint="eastAsia" w:ascii="仿宋_GB2312" w:hAnsi="新宋体" w:eastAsia="仿宋_GB2312" w:cs="仿宋_GB2312"/>
                <w:kern w:val="0"/>
              </w:rPr>
              <w:t>预算完成率大于或等于</w:t>
            </w:r>
            <w:r>
              <w:rPr>
                <w:rFonts w:ascii="仿宋_GB2312" w:hAnsi="新宋体" w:eastAsia="仿宋_GB2312" w:cs="仿宋_GB2312"/>
                <w:kern w:val="0"/>
              </w:rPr>
              <w:t>95%</w:t>
            </w:r>
            <w:r>
              <w:rPr>
                <w:rFonts w:hint="eastAsia" w:ascii="仿宋_GB2312" w:hAnsi="新宋体" w:eastAsia="仿宋_GB2312" w:cs="仿宋_GB2312"/>
                <w:kern w:val="0"/>
              </w:rPr>
              <w:t>的，得满分；</w:t>
            </w:r>
          </w:p>
          <w:p w14:paraId="5784E2EC">
            <w:pPr>
              <w:widowControl/>
              <w:spacing w:line="240" w:lineRule="exact"/>
              <w:jc w:val="left"/>
              <w:rPr>
                <w:rFonts w:cs="Times New Roman"/>
              </w:rPr>
            </w:pPr>
            <w:r>
              <w:rPr>
                <w:rFonts w:ascii="仿宋_GB2312" w:hAnsi="新宋体" w:eastAsia="仿宋_GB2312" w:cs="仿宋_GB2312"/>
                <w:kern w:val="0"/>
              </w:rPr>
              <w:t>2.</w:t>
            </w:r>
            <w:r>
              <w:rPr>
                <w:rFonts w:hint="eastAsia" w:ascii="仿宋_GB2312" w:hAnsi="新宋体" w:eastAsia="仿宋_GB2312" w:cs="仿宋_GB2312"/>
                <w:kern w:val="0"/>
              </w:rPr>
              <w:t>预算完成率小于或等于</w:t>
            </w:r>
            <w:r>
              <w:rPr>
                <w:rFonts w:ascii="仿宋_GB2312" w:hAnsi="新宋体" w:eastAsia="仿宋_GB2312" w:cs="仿宋_GB2312"/>
                <w:kern w:val="0"/>
              </w:rPr>
              <w:t>85%</w:t>
            </w:r>
            <w:r>
              <w:rPr>
                <w:rFonts w:hint="eastAsia" w:ascii="仿宋_GB2312" w:hAnsi="新宋体" w:eastAsia="仿宋_GB2312" w:cs="仿宋_GB2312"/>
                <w:kern w:val="0"/>
              </w:rPr>
              <w:t>的，得</w:t>
            </w:r>
            <w:r>
              <w:rPr>
                <w:rFonts w:ascii="仿宋_GB2312" w:hAnsi="新宋体" w:eastAsia="仿宋_GB2312" w:cs="仿宋_GB2312"/>
                <w:kern w:val="0"/>
              </w:rPr>
              <w:t>0</w:t>
            </w:r>
            <w:r>
              <w:rPr>
                <w:rFonts w:hint="eastAsia" w:ascii="仿宋_GB2312" w:hAnsi="新宋体" w:eastAsia="仿宋_GB2312" w:cs="仿宋_GB2312"/>
                <w:kern w:val="0"/>
              </w:rPr>
              <w:t>分；</w:t>
            </w:r>
          </w:p>
          <w:p w14:paraId="5FD526C1">
            <w:pPr>
              <w:widowControl/>
              <w:spacing w:line="240" w:lineRule="exact"/>
              <w:jc w:val="left"/>
              <w:rPr>
                <w:rFonts w:cs="Times New Roman"/>
              </w:rPr>
            </w:pPr>
            <w:r>
              <w:rPr>
                <w:rFonts w:ascii="仿宋_GB2312" w:hAnsi="新宋体" w:eastAsia="仿宋_GB2312" w:cs="仿宋_GB2312"/>
                <w:kern w:val="0"/>
              </w:rPr>
              <w:t>3.</w:t>
            </w:r>
            <w:r>
              <w:rPr>
                <w:rFonts w:hint="eastAsia" w:ascii="仿宋_GB2312" w:hAnsi="新宋体" w:eastAsia="仿宋_GB2312" w:cs="仿宋_GB2312"/>
                <w:kern w:val="0"/>
              </w:rPr>
              <w:t>预算完成率在</w:t>
            </w:r>
            <w:r>
              <w:rPr>
                <w:rFonts w:ascii="仿宋_GB2312" w:hAnsi="新宋体" w:eastAsia="仿宋_GB2312" w:cs="仿宋_GB2312"/>
                <w:kern w:val="0"/>
              </w:rPr>
              <w:t>85%-95%</w:t>
            </w:r>
            <w:r>
              <w:rPr>
                <w:rFonts w:hint="eastAsia" w:ascii="仿宋_GB2312" w:hAnsi="新宋体" w:eastAsia="仿宋_GB2312" w:cs="仿宋_GB2312"/>
                <w:kern w:val="0"/>
              </w:rPr>
              <w:t>之间的，在</w:t>
            </w:r>
            <w:r>
              <w:rPr>
                <w:rFonts w:ascii="仿宋_GB2312" w:hAnsi="新宋体" w:eastAsia="仿宋_GB2312" w:cs="仿宋_GB2312"/>
                <w:kern w:val="0"/>
              </w:rPr>
              <w:t>0</w:t>
            </w:r>
            <w:r>
              <w:rPr>
                <w:rFonts w:hint="eastAsia" w:ascii="仿宋_GB2312" w:hAnsi="新宋体" w:eastAsia="仿宋_GB2312" w:cs="仿宋_GB2312"/>
                <w:kern w:val="0"/>
              </w:rPr>
              <w:t>分和满分之间计算确定：</w:t>
            </w:r>
          </w:p>
          <w:p w14:paraId="7CD0910A">
            <w:pPr>
              <w:widowControl/>
              <w:spacing w:line="240" w:lineRule="exact"/>
              <w:jc w:val="left"/>
              <w:rPr>
                <w:rFonts w:cs="Times New Roman"/>
              </w:rPr>
            </w:pPr>
            <w:r>
              <w:rPr>
                <w:rFonts w:hint="eastAsia" w:ascii="仿宋_GB2312" w:hAnsi="新宋体" w:eastAsia="仿宋_GB2312" w:cs="仿宋_GB2312"/>
                <w:kern w:val="0"/>
              </w:rPr>
              <w:t>得分</w:t>
            </w:r>
            <w:r>
              <w:rPr>
                <w:rFonts w:ascii="仿宋_GB2312" w:hAnsi="新宋体" w:eastAsia="仿宋_GB2312" w:cs="仿宋_GB2312"/>
                <w:kern w:val="0"/>
              </w:rPr>
              <w:t>=[</w:t>
            </w:r>
            <w:r>
              <w:rPr>
                <w:rFonts w:hint="eastAsia" w:ascii="仿宋_GB2312" w:hAnsi="新宋体" w:eastAsia="仿宋_GB2312" w:cs="仿宋_GB2312"/>
                <w:kern w:val="0"/>
              </w:rPr>
              <w:t>某部门预算完成率</w:t>
            </w:r>
            <w:r>
              <w:rPr>
                <w:rFonts w:ascii="仿宋_GB2312" w:hAnsi="新宋体" w:eastAsia="仿宋_GB2312" w:cs="仿宋_GB2312"/>
                <w:kern w:val="0"/>
              </w:rPr>
              <w:t>-min</w:t>
            </w:r>
            <w:r>
              <w:rPr>
                <w:rFonts w:hint="eastAsia" w:ascii="仿宋_GB2312" w:hAnsi="新宋体" w:eastAsia="仿宋_GB2312" w:cs="仿宋_GB2312"/>
                <w:kern w:val="0"/>
              </w:rPr>
              <w:t>（预算完成率）</w:t>
            </w:r>
            <w:r>
              <w:rPr>
                <w:rFonts w:ascii="仿宋_GB2312" w:hAnsi="新宋体" w:eastAsia="仿宋_GB2312" w:cs="仿宋_GB2312"/>
                <w:kern w:val="0"/>
              </w:rPr>
              <w:t>]/[max</w:t>
            </w:r>
            <w:r>
              <w:rPr>
                <w:rFonts w:hint="eastAsia" w:ascii="仿宋_GB2312" w:hAnsi="新宋体" w:eastAsia="仿宋_GB2312" w:cs="仿宋_GB2312"/>
                <w:kern w:val="0"/>
              </w:rPr>
              <w:t>（预算完成率）－</w:t>
            </w:r>
            <w:r>
              <w:rPr>
                <w:rFonts w:ascii="仿宋_GB2312" w:hAnsi="新宋体" w:eastAsia="仿宋_GB2312" w:cs="仿宋_GB2312"/>
                <w:kern w:val="0"/>
              </w:rPr>
              <w:t>min</w:t>
            </w:r>
            <w:r>
              <w:rPr>
                <w:rFonts w:hint="eastAsia" w:ascii="仿宋_GB2312" w:hAnsi="新宋体" w:eastAsia="仿宋_GB2312" w:cs="仿宋_GB2312"/>
                <w:kern w:val="0"/>
              </w:rPr>
              <w:t>（预算完成率）</w:t>
            </w:r>
            <w:r>
              <w:rPr>
                <w:rFonts w:ascii="仿宋_GB2312" w:hAnsi="新宋体" w:eastAsia="仿宋_GB2312" w:cs="仿宋_GB2312"/>
                <w:kern w:val="0"/>
              </w:rPr>
              <w:t>]</w:t>
            </w:r>
            <w:r>
              <w:rPr>
                <w:rFonts w:hint="eastAsia" w:ascii="仿宋_GB2312" w:hAnsi="新宋体" w:eastAsia="仿宋_GB2312" w:cs="仿宋_GB2312"/>
                <w:kern w:val="0"/>
              </w:rPr>
              <w:t>×该指标分值。</w:t>
            </w:r>
          </w:p>
        </w:tc>
        <w:tc>
          <w:tcPr>
            <w:tcW w:w="765" w:type="dxa"/>
            <w:tcBorders>
              <w:left w:val="single" w:color="auto" w:sz="4" w:space="0"/>
            </w:tcBorders>
            <w:vAlign w:val="center"/>
          </w:tcPr>
          <w:p w14:paraId="53A9E935">
            <w:pPr>
              <w:widowControl/>
              <w:spacing w:line="240" w:lineRule="exact"/>
              <w:jc w:val="center"/>
            </w:pPr>
            <w:r>
              <w:t>5</w:t>
            </w:r>
          </w:p>
        </w:tc>
      </w:tr>
      <w:tr w14:paraId="0D8E1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95" w:type="dxa"/>
            <w:vMerge w:val="continue"/>
            <w:vAlign w:val="center"/>
          </w:tcPr>
          <w:p w14:paraId="4FAF15F6">
            <w:pPr>
              <w:spacing w:line="240" w:lineRule="exact"/>
              <w:rPr>
                <w:rFonts w:ascii="宋体" w:cs="Times New Roman"/>
              </w:rPr>
            </w:pPr>
          </w:p>
        </w:tc>
        <w:tc>
          <w:tcPr>
            <w:tcW w:w="765" w:type="dxa"/>
            <w:vMerge w:val="continue"/>
            <w:vAlign w:val="center"/>
          </w:tcPr>
          <w:p w14:paraId="047F1FB9">
            <w:pPr>
              <w:spacing w:line="240" w:lineRule="exact"/>
              <w:rPr>
                <w:rFonts w:ascii="宋体" w:cs="Times New Roman"/>
              </w:rPr>
            </w:pPr>
          </w:p>
        </w:tc>
        <w:tc>
          <w:tcPr>
            <w:tcW w:w="990" w:type="dxa"/>
            <w:tcBorders>
              <w:right w:val="single" w:color="auto" w:sz="4" w:space="0"/>
            </w:tcBorders>
            <w:vAlign w:val="center"/>
          </w:tcPr>
          <w:p w14:paraId="01C58646">
            <w:pPr>
              <w:widowControl/>
              <w:spacing w:line="240" w:lineRule="exact"/>
              <w:jc w:val="left"/>
              <w:rPr>
                <w:rFonts w:cs="Times New Roman"/>
              </w:rPr>
            </w:pPr>
            <w:r>
              <w:rPr>
                <w:rFonts w:hint="eastAsia" w:ascii="仿宋_GB2312" w:hAnsi="新宋体" w:eastAsia="仿宋_GB2312" w:cs="仿宋_GB2312"/>
                <w:kern w:val="0"/>
              </w:rPr>
              <w:t>预算调整率（</w:t>
            </w:r>
            <w:r>
              <w:rPr>
                <w:rFonts w:ascii="仿宋_GB2312" w:hAnsi="新宋体" w:eastAsia="仿宋_GB2312" w:cs="仿宋_GB2312"/>
                <w:kern w:val="0"/>
              </w:rPr>
              <w:t>3</w:t>
            </w:r>
            <w:r>
              <w:rPr>
                <w:rFonts w:hint="eastAsia" w:ascii="仿宋_GB2312" w:hAnsi="新宋体" w:eastAsia="仿宋_GB2312" w:cs="仿宋_GB2312"/>
                <w:kern w:val="0"/>
              </w:rPr>
              <w:t>分）</w:t>
            </w:r>
          </w:p>
        </w:tc>
        <w:tc>
          <w:tcPr>
            <w:tcW w:w="3975" w:type="dxa"/>
            <w:tcBorders>
              <w:left w:val="single" w:color="auto" w:sz="4" w:space="0"/>
              <w:right w:val="single" w:color="auto" w:sz="4" w:space="0"/>
            </w:tcBorders>
            <w:vAlign w:val="center"/>
          </w:tcPr>
          <w:p w14:paraId="6D393E47">
            <w:pPr>
              <w:widowControl/>
              <w:spacing w:line="240" w:lineRule="exact"/>
              <w:jc w:val="left"/>
              <w:rPr>
                <w:rFonts w:cs="Times New Roman"/>
              </w:rPr>
            </w:pPr>
            <w:r>
              <w:rPr>
                <w:rFonts w:hint="eastAsia" w:ascii="仿宋_GB2312" w:hAnsi="新宋体" w:eastAsia="仿宋_GB2312" w:cs="仿宋_GB2312"/>
                <w:kern w:val="0"/>
              </w:rPr>
              <w:t>部门本年度预算调整数与预算数的比率，用以反映和评价部门预算的调整程度。</w:t>
            </w:r>
          </w:p>
          <w:p w14:paraId="13BC1E4D">
            <w:pPr>
              <w:widowControl/>
              <w:spacing w:line="240" w:lineRule="exact"/>
              <w:jc w:val="left"/>
              <w:rPr>
                <w:rFonts w:cs="Times New Roman"/>
              </w:rPr>
            </w:pPr>
            <w:r>
              <w:rPr>
                <w:rFonts w:hint="eastAsia" w:ascii="仿宋_GB2312" w:hAnsi="新宋体" w:eastAsia="仿宋_GB2312" w:cs="仿宋_GB2312"/>
                <w:kern w:val="0"/>
              </w:rPr>
              <w:t>预算调整率</w:t>
            </w:r>
            <w:r>
              <w:rPr>
                <w:rFonts w:ascii="仿宋_GB2312" w:hAnsi="新宋体" w:eastAsia="仿宋_GB2312" w:cs="仿宋_GB2312"/>
                <w:kern w:val="0"/>
              </w:rPr>
              <w:t>=</w:t>
            </w:r>
            <w:r>
              <w:rPr>
                <w:rFonts w:hint="eastAsia" w:ascii="仿宋_GB2312" w:hAnsi="新宋体" w:eastAsia="仿宋_GB2312" w:cs="仿宋_GB2312"/>
                <w:kern w:val="0"/>
              </w:rPr>
              <w:t>（预算调整数</w:t>
            </w:r>
            <w:r>
              <w:rPr>
                <w:rFonts w:ascii="仿宋_GB2312" w:hAnsi="新宋体" w:eastAsia="仿宋_GB2312" w:cs="仿宋_GB2312"/>
                <w:kern w:val="0"/>
              </w:rPr>
              <w:t>/</w:t>
            </w:r>
            <w:r>
              <w:rPr>
                <w:rFonts w:hint="eastAsia" w:ascii="仿宋_GB2312" w:hAnsi="新宋体" w:eastAsia="仿宋_GB2312" w:cs="仿宋_GB2312"/>
                <w:kern w:val="0"/>
              </w:rPr>
              <w:t>预算数）×</w:t>
            </w:r>
            <w:r>
              <w:rPr>
                <w:rFonts w:ascii="仿宋_GB2312" w:hAnsi="新宋体" w:eastAsia="仿宋_GB2312" w:cs="仿宋_GB2312"/>
                <w:kern w:val="0"/>
              </w:rPr>
              <w:t>100%</w:t>
            </w:r>
            <w:r>
              <w:rPr>
                <w:rFonts w:hint="eastAsia" w:ascii="仿宋_GB2312" w:hAnsi="新宋体" w:eastAsia="仿宋_GB2312" w:cs="仿宋_GB2312"/>
                <w:kern w:val="0"/>
              </w:rPr>
              <w:t>。</w:t>
            </w:r>
          </w:p>
        </w:tc>
        <w:tc>
          <w:tcPr>
            <w:tcW w:w="2550" w:type="dxa"/>
            <w:tcBorders>
              <w:left w:val="single" w:color="auto" w:sz="4" w:space="0"/>
              <w:right w:val="single" w:color="auto" w:sz="4" w:space="0"/>
            </w:tcBorders>
            <w:vAlign w:val="center"/>
          </w:tcPr>
          <w:p w14:paraId="28A98755">
            <w:pPr>
              <w:widowControl/>
              <w:spacing w:line="240" w:lineRule="exact"/>
              <w:jc w:val="left"/>
              <w:rPr>
                <w:rFonts w:cs="Times New Roman"/>
              </w:rPr>
            </w:pPr>
            <w:r>
              <w:rPr>
                <w:rFonts w:ascii="仿宋_GB2312" w:hAnsi="新宋体" w:eastAsia="仿宋_GB2312" w:cs="仿宋_GB2312"/>
                <w:kern w:val="0"/>
              </w:rPr>
              <w:t>1.</w:t>
            </w:r>
            <w:r>
              <w:rPr>
                <w:rFonts w:hint="eastAsia" w:ascii="仿宋_GB2312" w:hAnsi="新宋体" w:eastAsia="仿宋_GB2312" w:cs="仿宋_GB2312"/>
                <w:kern w:val="0"/>
              </w:rPr>
              <w:t>预算调整率等于</w:t>
            </w:r>
            <w:r>
              <w:rPr>
                <w:rFonts w:ascii="仿宋_GB2312" w:hAnsi="新宋体" w:eastAsia="仿宋_GB2312" w:cs="仿宋_GB2312"/>
                <w:kern w:val="0"/>
              </w:rPr>
              <w:t>0</w:t>
            </w:r>
            <w:r>
              <w:rPr>
                <w:rFonts w:hint="eastAsia" w:ascii="仿宋_GB2312" w:hAnsi="新宋体" w:eastAsia="仿宋_GB2312" w:cs="仿宋_GB2312"/>
                <w:kern w:val="0"/>
              </w:rPr>
              <w:t>的，得满分；</w:t>
            </w:r>
            <w:r>
              <w:rPr>
                <w:rFonts w:ascii="仿宋_GB2312" w:hAnsi="新宋体" w:eastAsia="仿宋_GB2312" w:cs="仿宋_GB2312"/>
                <w:kern w:val="0"/>
              </w:rPr>
              <w:t xml:space="preserve"> </w:t>
            </w:r>
          </w:p>
          <w:p w14:paraId="6303D0F5">
            <w:pPr>
              <w:widowControl/>
              <w:spacing w:line="240" w:lineRule="exact"/>
              <w:jc w:val="left"/>
              <w:rPr>
                <w:rFonts w:cs="Times New Roman"/>
              </w:rPr>
            </w:pPr>
            <w:r>
              <w:rPr>
                <w:rFonts w:ascii="仿宋_GB2312" w:hAnsi="新宋体" w:eastAsia="仿宋_GB2312" w:cs="仿宋_GB2312"/>
                <w:kern w:val="0"/>
              </w:rPr>
              <w:t>2.</w:t>
            </w:r>
            <w:r>
              <w:rPr>
                <w:rFonts w:hint="eastAsia" w:ascii="仿宋_GB2312" w:hAnsi="新宋体" w:eastAsia="仿宋_GB2312" w:cs="仿宋_GB2312"/>
                <w:kern w:val="0"/>
              </w:rPr>
              <w:t>预算调整率大于或等于</w:t>
            </w:r>
            <w:r>
              <w:rPr>
                <w:rFonts w:ascii="仿宋_GB2312" w:hAnsi="新宋体" w:eastAsia="仿宋_GB2312" w:cs="仿宋_GB2312"/>
                <w:kern w:val="0"/>
              </w:rPr>
              <w:t>10%</w:t>
            </w:r>
            <w:r>
              <w:rPr>
                <w:rFonts w:hint="eastAsia" w:ascii="仿宋_GB2312" w:hAnsi="新宋体" w:eastAsia="仿宋_GB2312" w:cs="仿宋_GB2312"/>
                <w:kern w:val="0"/>
              </w:rPr>
              <w:t>的，得</w:t>
            </w:r>
            <w:r>
              <w:rPr>
                <w:rFonts w:ascii="仿宋_GB2312" w:hAnsi="新宋体" w:eastAsia="仿宋_GB2312" w:cs="仿宋_GB2312"/>
                <w:kern w:val="0"/>
              </w:rPr>
              <w:t>0</w:t>
            </w:r>
            <w:r>
              <w:rPr>
                <w:rFonts w:hint="eastAsia" w:ascii="仿宋_GB2312" w:hAnsi="新宋体" w:eastAsia="仿宋_GB2312" w:cs="仿宋_GB2312"/>
                <w:kern w:val="0"/>
              </w:rPr>
              <w:t>分；</w:t>
            </w:r>
          </w:p>
          <w:p w14:paraId="61014594">
            <w:pPr>
              <w:widowControl/>
              <w:spacing w:line="240" w:lineRule="exact"/>
              <w:jc w:val="left"/>
              <w:rPr>
                <w:rFonts w:cs="Times New Roman"/>
              </w:rPr>
            </w:pPr>
            <w:r>
              <w:rPr>
                <w:rFonts w:ascii="仿宋_GB2312" w:hAnsi="新宋体" w:eastAsia="仿宋_GB2312" w:cs="仿宋_GB2312"/>
                <w:kern w:val="0"/>
              </w:rPr>
              <w:t>3.</w:t>
            </w:r>
            <w:r>
              <w:rPr>
                <w:rFonts w:hint="eastAsia" w:ascii="仿宋_GB2312" w:hAnsi="新宋体" w:eastAsia="仿宋_GB2312" w:cs="仿宋_GB2312"/>
                <w:kern w:val="0"/>
              </w:rPr>
              <w:t>预算调整率在</w:t>
            </w:r>
            <w:r>
              <w:rPr>
                <w:rFonts w:ascii="仿宋_GB2312" w:hAnsi="新宋体" w:eastAsia="仿宋_GB2312" w:cs="仿宋_GB2312"/>
                <w:kern w:val="0"/>
              </w:rPr>
              <w:t>0-10%</w:t>
            </w:r>
            <w:r>
              <w:rPr>
                <w:rFonts w:hint="eastAsia" w:ascii="仿宋_GB2312" w:hAnsi="新宋体" w:eastAsia="仿宋_GB2312" w:cs="仿宋_GB2312"/>
                <w:kern w:val="0"/>
              </w:rPr>
              <w:t>之间的，在</w:t>
            </w:r>
            <w:r>
              <w:rPr>
                <w:rFonts w:ascii="仿宋_GB2312" w:hAnsi="新宋体" w:eastAsia="仿宋_GB2312" w:cs="仿宋_GB2312"/>
                <w:kern w:val="0"/>
              </w:rPr>
              <w:t>0</w:t>
            </w:r>
            <w:r>
              <w:rPr>
                <w:rFonts w:hint="eastAsia" w:ascii="仿宋_GB2312" w:hAnsi="新宋体" w:eastAsia="仿宋_GB2312" w:cs="仿宋_GB2312"/>
                <w:kern w:val="0"/>
              </w:rPr>
              <w:t>分和满分之间确定：</w:t>
            </w:r>
          </w:p>
          <w:p w14:paraId="7BAB8573">
            <w:pPr>
              <w:widowControl/>
              <w:spacing w:line="240" w:lineRule="exact"/>
              <w:jc w:val="left"/>
              <w:rPr>
                <w:rFonts w:cs="Times New Roman"/>
              </w:rPr>
            </w:pPr>
            <w:r>
              <w:rPr>
                <w:rFonts w:hint="eastAsia" w:ascii="仿宋_GB2312" w:hAnsi="新宋体" w:eastAsia="仿宋_GB2312" w:cs="仿宋_GB2312"/>
                <w:kern w:val="0"/>
              </w:rPr>
              <w:t>得分</w:t>
            </w:r>
            <w:r>
              <w:rPr>
                <w:rFonts w:ascii="仿宋_GB2312" w:hAnsi="新宋体" w:eastAsia="仿宋_GB2312" w:cs="仿宋_GB2312"/>
                <w:kern w:val="0"/>
              </w:rPr>
              <w:t>=</w:t>
            </w:r>
            <w:r>
              <w:rPr>
                <w:rFonts w:hint="eastAsia" w:ascii="仿宋_GB2312" w:hAnsi="新宋体" w:eastAsia="仿宋_GB2312" w:cs="仿宋_GB2312"/>
                <w:kern w:val="0"/>
              </w:rPr>
              <w:t>［</w:t>
            </w:r>
            <w:r>
              <w:rPr>
                <w:rFonts w:ascii="仿宋_GB2312" w:hAnsi="新宋体" w:eastAsia="仿宋_GB2312" w:cs="仿宋_GB2312"/>
                <w:kern w:val="0"/>
              </w:rPr>
              <w:t>max</w:t>
            </w:r>
            <w:r>
              <w:rPr>
                <w:rFonts w:hint="eastAsia" w:ascii="仿宋_GB2312" w:hAnsi="新宋体" w:eastAsia="仿宋_GB2312" w:cs="仿宋_GB2312"/>
                <w:kern w:val="0"/>
              </w:rPr>
              <w:t>（预算调整率）</w:t>
            </w:r>
            <w:r>
              <w:rPr>
                <w:rFonts w:ascii="仿宋_GB2312" w:hAnsi="新宋体" w:eastAsia="仿宋_GB2312" w:cs="仿宋_GB2312"/>
                <w:kern w:val="0"/>
              </w:rPr>
              <w:t>-</w:t>
            </w:r>
            <w:r>
              <w:rPr>
                <w:rFonts w:hint="eastAsia" w:ascii="仿宋_GB2312" w:hAnsi="新宋体" w:eastAsia="仿宋_GB2312" w:cs="仿宋_GB2312"/>
                <w:kern w:val="0"/>
              </w:rPr>
              <w:t>某部门预算调整率］</w:t>
            </w:r>
            <w:r>
              <w:rPr>
                <w:rFonts w:ascii="仿宋_GB2312" w:hAnsi="新宋体" w:eastAsia="仿宋_GB2312" w:cs="仿宋_GB2312"/>
                <w:kern w:val="0"/>
              </w:rPr>
              <w:t>/</w:t>
            </w:r>
            <w:r>
              <w:rPr>
                <w:rFonts w:hint="eastAsia" w:ascii="仿宋_GB2312" w:hAnsi="新宋体" w:eastAsia="仿宋_GB2312" w:cs="仿宋_GB2312"/>
                <w:kern w:val="0"/>
              </w:rPr>
              <w:t>［</w:t>
            </w:r>
            <w:r>
              <w:rPr>
                <w:rFonts w:ascii="仿宋_GB2312" w:hAnsi="新宋体" w:eastAsia="仿宋_GB2312" w:cs="仿宋_GB2312"/>
                <w:kern w:val="0"/>
              </w:rPr>
              <w:t>max</w:t>
            </w:r>
            <w:r>
              <w:rPr>
                <w:rFonts w:hint="eastAsia" w:ascii="仿宋_GB2312" w:hAnsi="新宋体" w:eastAsia="仿宋_GB2312" w:cs="仿宋_GB2312"/>
                <w:kern w:val="0"/>
              </w:rPr>
              <w:t>（预算调整率）</w:t>
            </w:r>
            <w:r>
              <w:rPr>
                <w:rFonts w:ascii="仿宋_GB2312" w:hAnsi="新宋体" w:eastAsia="仿宋_GB2312" w:cs="仿宋_GB2312"/>
                <w:kern w:val="0"/>
              </w:rPr>
              <w:t>-min</w:t>
            </w:r>
            <w:r>
              <w:rPr>
                <w:rFonts w:hint="eastAsia" w:ascii="仿宋_GB2312" w:hAnsi="新宋体" w:eastAsia="仿宋_GB2312" w:cs="仿宋_GB2312"/>
                <w:kern w:val="0"/>
              </w:rPr>
              <w:t>（预算调整率）］×该指标分值。</w:t>
            </w:r>
          </w:p>
        </w:tc>
        <w:tc>
          <w:tcPr>
            <w:tcW w:w="765" w:type="dxa"/>
            <w:tcBorders>
              <w:left w:val="single" w:color="auto" w:sz="4" w:space="0"/>
            </w:tcBorders>
            <w:vAlign w:val="center"/>
          </w:tcPr>
          <w:p w14:paraId="3ABFFE18">
            <w:pPr>
              <w:widowControl/>
              <w:spacing w:line="240" w:lineRule="exact"/>
              <w:jc w:val="center"/>
            </w:pPr>
            <w:r>
              <w:t>3</w:t>
            </w:r>
          </w:p>
        </w:tc>
      </w:tr>
      <w:tr w14:paraId="4786A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95" w:type="dxa"/>
            <w:vMerge w:val="continue"/>
            <w:vAlign w:val="center"/>
          </w:tcPr>
          <w:p w14:paraId="76313316">
            <w:pPr>
              <w:spacing w:line="240" w:lineRule="exact"/>
              <w:rPr>
                <w:rFonts w:ascii="宋体" w:cs="Times New Roman"/>
              </w:rPr>
            </w:pPr>
          </w:p>
        </w:tc>
        <w:tc>
          <w:tcPr>
            <w:tcW w:w="765" w:type="dxa"/>
            <w:vMerge w:val="continue"/>
            <w:vAlign w:val="center"/>
          </w:tcPr>
          <w:p w14:paraId="688C5973">
            <w:pPr>
              <w:spacing w:line="240" w:lineRule="exact"/>
              <w:rPr>
                <w:rFonts w:ascii="宋体" w:cs="Times New Roman"/>
              </w:rPr>
            </w:pPr>
          </w:p>
        </w:tc>
        <w:tc>
          <w:tcPr>
            <w:tcW w:w="990" w:type="dxa"/>
            <w:tcBorders>
              <w:right w:val="single" w:color="auto" w:sz="4" w:space="0"/>
            </w:tcBorders>
            <w:vAlign w:val="center"/>
          </w:tcPr>
          <w:p w14:paraId="567AC217">
            <w:pPr>
              <w:widowControl/>
              <w:spacing w:line="240" w:lineRule="exact"/>
              <w:jc w:val="left"/>
              <w:rPr>
                <w:rFonts w:cs="Times New Roman"/>
              </w:rPr>
            </w:pPr>
            <w:r>
              <w:rPr>
                <w:rFonts w:hint="eastAsia" w:ascii="仿宋_GB2312" w:hAnsi="新宋体" w:eastAsia="仿宋_GB2312" w:cs="仿宋_GB2312"/>
                <w:color w:val="000000"/>
                <w:kern w:val="0"/>
              </w:rPr>
              <w:t>支付进度率</w:t>
            </w:r>
            <w:r>
              <w:rPr>
                <w:rFonts w:hint="eastAsia" w:ascii="仿宋_GB2312" w:hAnsi="新宋体" w:eastAsia="仿宋_GB2312" w:cs="仿宋_GB2312"/>
                <w:kern w:val="0"/>
              </w:rPr>
              <w:t>（</w:t>
            </w:r>
            <w:r>
              <w:rPr>
                <w:rFonts w:ascii="仿宋_GB2312" w:hAnsi="新宋体" w:eastAsia="仿宋_GB2312" w:cs="仿宋_GB2312"/>
                <w:kern w:val="0"/>
              </w:rPr>
              <w:t>5</w:t>
            </w:r>
            <w:r>
              <w:rPr>
                <w:rFonts w:hint="eastAsia" w:ascii="仿宋_GB2312" w:hAnsi="新宋体" w:eastAsia="仿宋_GB2312" w:cs="仿宋_GB2312"/>
                <w:kern w:val="0"/>
              </w:rPr>
              <w:t>分）</w:t>
            </w:r>
          </w:p>
        </w:tc>
        <w:tc>
          <w:tcPr>
            <w:tcW w:w="3975" w:type="dxa"/>
            <w:tcBorders>
              <w:left w:val="single" w:color="auto" w:sz="4" w:space="0"/>
              <w:right w:val="single" w:color="auto" w:sz="4" w:space="0"/>
            </w:tcBorders>
            <w:vAlign w:val="center"/>
          </w:tcPr>
          <w:p w14:paraId="5975AEFB">
            <w:pPr>
              <w:widowControl/>
              <w:spacing w:line="240" w:lineRule="exact"/>
              <w:jc w:val="left"/>
              <w:rPr>
                <w:rFonts w:cs="Times New Roman"/>
              </w:rPr>
            </w:pPr>
            <w:r>
              <w:rPr>
                <w:rFonts w:hint="eastAsia" w:ascii="仿宋_GB2312" w:hAnsi="新宋体" w:eastAsia="仿宋_GB2312" w:cs="仿宋_GB2312"/>
                <w:kern w:val="0"/>
              </w:rPr>
              <w:t>部门年度支付数与年度任务数的比率，用以反映和评价部门预算执行的及时和均衡程度。</w:t>
            </w:r>
          </w:p>
          <w:p w14:paraId="3592BD8E">
            <w:pPr>
              <w:widowControl/>
              <w:spacing w:line="240" w:lineRule="exact"/>
              <w:jc w:val="left"/>
              <w:rPr>
                <w:rFonts w:cs="Times New Roman"/>
              </w:rPr>
            </w:pPr>
            <w:r>
              <w:rPr>
                <w:rFonts w:hint="eastAsia" w:ascii="仿宋_GB2312" w:hAnsi="新宋体" w:eastAsia="仿宋_GB2312" w:cs="仿宋_GB2312"/>
                <w:kern w:val="0"/>
              </w:rPr>
              <w:t>支付进度率</w:t>
            </w:r>
            <w:r>
              <w:rPr>
                <w:rFonts w:ascii="仿宋_GB2312" w:hAnsi="新宋体" w:eastAsia="仿宋_GB2312" w:cs="仿宋_GB2312"/>
                <w:kern w:val="0"/>
              </w:rPr>
              <w:t>=</w:t>
            </w:r>
            <w:r>
              <w:rPr>
                <w:rFonts w:hint="eastAsia" w:ascii="仿宋_GB2312" w:hAnsi="新宋体" w:eastAsia="仿宋_GB2312" w:cs="仿宋_GB2312"/>
                <w:kern w:val="0"/>
              </w:rPr>
              <w:t>（年度支付数</w:t>
            </w:r>
            <w:r>
              <w:rPr>
                <w:rFonts w:ascii="仿宋_GB2312" w:hAnsi="新宋体" w:eastAsia="仿宋_GB2312" w:cs="仿宋_GB2312"/>
                <w:kern w:val="0"/>
              </w:rPr>
              <w:t>/</w:t>
            </w:r>
            <w:r>
              <w:rPr>
                <w:rFonts w:hint="eastAsia" w:ascii="仿宋_GB2312" w:hAnsi="新宋体" w:eastAsia="仿宋_GB2312" w:cs="仿宋_GB2312"/>
                <w:kern w:val="0"/>
              </w:rPr>
              <w:t>年度任务数）×</w:t>
            </w:r>
            <w:r>
              <w:rPr>
                <w:rFonts w:ascii="仿宋_GB2312" w:hAnsi="新宋体" w:eastAsia="仿宋_GB2312" w:cs="仿宋_GB2312"/>
                <w:kern w:val="0"/>
              </w:rPr>
              <w:t>100%</w:t>
            </w:r>
            <w:r>
              <w:rPr>
                <w:rFonts w:hint="eastAsia" w:ascii="仿宋_GB2312" w:hAnsi="新宋体" w:eastAsia="仿宋_GB2312" w:cs="仿宋_GB2312"/>
                <w:kern w:val="0"/>
              </w:rPr>
              <w:t>。</w:t>
            </w:r>
          </w:p>
        </w:tc>
        <w:tc>
          <w:tcPr>
            <w:tcW w:w="2550" w:type="dxa"/>
            <w:tcBorders>
              <w:left w:val="single" w:color="auto" w:sz="4" w:space="0"/>
              <w:right w:val="single" w:color="auto" w:sz="4" w:space="0"/>
            </w:tcBorders>
            <w:vAlign w:val="center"/>
          </w:tcPr>
          <w:p w14:paraId="3C9F2E1D">
            <w:pPr>
              <w:widowControl/>
              <w:spacing w:line="240" w:lineRule="exact"/>
              <w:jc w:val="left"/>
              <w:rPr>
                <w:rFonts w:cs="Times New Roman"/>
              </w:rPr>
            </w:pPr>
            <w:r>
              <w:rPr>
                <w:rFonts w:hint="eastAsia" w:ascii="仿宋_GB2312" w:hAnsi="新宋体" w:eastAsia="仿宋_GB2312" w:cs="仿宋_GB2312"/>
                <w:kern w:val="0"/>
              </w:rPr>
              <w:t>按年度的执行情况进行打分。得分</w:t>
            </w:r>
            <w:r>
              <w:rPr>
                <w:rFonts w:ascii="仿宋_GB2312" w:hAnsi="新宋体" w:eastAsia="仿宋_GB2312" w:cs="仿宋_GB2312"/>
                <w:kern w:val="0"/>
              </w:rPr>
              <w:t>=</w:t>
            </w:r>
            <w:r>
              <w:rPr>
                <w:rFonts w:hint="eastAsia" w:ascii="仿宋_GB2312" w:hAnsi="新宋体" w:eastAsia="仿宋_GB2312" w:cs="仿宋_GB2312"/>
                <w:kern w:val="0"/>
              </w:rPr>
              <w:t>年度支付数</w:t>
            </w:r>
            <w:r>
              <w:rPr>
                <w:rFonts w:ascii="仿宋_GB2312" w:hAnsi="新宋体" w:eastAsia="仿宋_GB2312" w:cs="仿宋_GB2312"/>
                <w:kern w:val="0"/>
              </w:rPr>
              <w:t>/</w:t>
            </w:r>
            <w:r>
              <w:rPr>
                <w:rFonts w:hint="eastAsia" w:ascii="仿宋_GB2312" w:hAnsi="新宋体" w:eastAsia="仿宋_GB2312" w:cs="仿宋_GB2312"/>
                <w:kern w:val="0"/>
              </w:rPr>
              <w:t>年度任务数×该指标分值。</w:t>
            </w:r>
          </w:p>
          <w:p w14:paraId="412195E5">
            <w:pPr>
              <w:widowControl/>
              <w:spacing w:line="240" w:lineRule="exact"/>
              <w:jc w:val="left"/>
              <w:rPr>
                <w:rFonts w:cs="Times New Roman"/>
              </w:rPr>
            </w:pPr>
          </w:p>
        </w:tc>
        <w:tc>
          <w:tcPr>
            <w:tcW w:w="765" w:type="dxa"/>
            <w:tcBorders>
              <w:left w:val="single" w:color="auto" w:sz="4" w:space="0"/>
            </w:tcBorders>
            <w:vAlign w:val="center"/>
          </w:tcPr>
          <w:p w14:paraId="054A1E2D">
            <w:pPr>
              <w:widowControl/>
              <w:spacing w:line="240" w:lineRule="exact"/>
              <w:jc w:val="center"/>
            </w:pPr>
            <w:r>
              <w:rPr>
                <w:rFonts w:hint="eastAsia"/>
              </w:rPr>
              <w:t>5</w:t>
            </w:r>
          </w:p>
        </w:tc>
      </w:tr>
      <w:tr w14:paraId="028CE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trPr>
        <w:tc>
          <w:tcPr>
            <w:tcW w:w="795" w:type="dxa"/>
            <w:vMerge w:val="continue"/>
            <w:vAlign w:val="center"/>
          </w:tcPr>
          <w:p w14:paraId="190BE032">
            <w:pPr>
              <w:spacing w:line="240" w:lineRule="exact"/>
              <w:rPr>
                <w:rFonts w:ascii="宋体" w:cs="Times New Roman"/>
              </w:rPr>
            </w:pPr>
          </w:p>
        </w:tc>
        <w:tc>
          <w:tcPr>
            <w:tcW w:w="765" w:type="dxa"/>
            <w:vMerge w:val="continue"/>
            <w:vAlign w:val="center"/>
          </w:tcPr>
          <w:p w14:paraId="7459CC59">
            <w:pPr>
              <w:spacing w:line="240" w:lineRule="exact"/>
              <w:rPr>
                <w:rFonts w:ascii="宋体" w:cs="Times New Roman"/>
              </w:rPr>
            </w:pPr>
          </w:p>
        </w:tc>
        <w:tc>
          <w:tcPr>
            <w:tcW w:w="990" w:type="dxa"/>
            <w:tcBorders>
              <w:right w:val="single" w:color="auto" w:sz="4" w:space="0"/>
            </w:tcBorders>
            <w:vAlign w:val="center"/>
          </w:tcPr>
          <w:p w14:paraId="396A8224">
            <w:pPr>
              <w:widowControl/>
              <w:spacing w:line="240" w:lineRule="exact"/>
              <w:jc w:val="left"/>
              <w:rPr>
                <w:rFonts w:cs="Times New Roman"/>
              </w:rPr>
            </w:pPr>
            <w:r>
              <w:rPr>
                <w:rFonts w:hint="eastAsia" w:ascii="仿宋_GB2312" w:hAnsi="新宋体" w:eastAsia="仿宋_GB2312" w:cs="仿宋_GB2312"/>
                <w:kern w:val="0"/>
              </w:rPr>
              <w:t>结转结余率（</w:t>
            </w:r>
            <w:r>
              <w:rPr>
                <w:rFonts w:ascii="仿宋_GB2312" w:hAnsi="新宋体" w:eastAsia="仿宋_GB2312" w:cs="仿宋_GB2312"/>
                <w:kern w:val="0"/>
              </w:rPr>
              <w:t>4</w:t>
            </w:r>
            <w:r>
              <w:rPr>
                <w:rFonts w:hint="eastAsia" w:ascii="仿宋_GB2312" w:hAnsi="新宋体" w:eastAsia="仿宋_GB2312" w:cs="仿宋_GB2312"/>
                <w:kern w:val="0"/>
              </w:rPr>
              <w:t>分）</w:t>
            </w:r>
          </w:p>
        </w:tc>
        <w:tc>
          <w:tcPr>
            <w:tcW w:w="3975" w:type="dxa"/>
            <w:tcBorders>
              <w:left w:val="single" w:color="auto" w:sz="4" w:space="0"/>
              <w:right w:val="single" w:color="auto" w:sz="4" w:space="0"/>
            </w:tcBorders>
            <w:vAlign w:val="center"/>
          </w:tcPr>
          <w:p w14:paraId="504555E7">
            <w:pPr>
              <w:widowControl/>
              <w:spacing w:line="240" w:lineRule="exact"/>
              <w:jc w:val="left"/>
              <w:rPr>
                <w:rFonts w:cs="Times New Roman"/>
              </w:rPr>
            </w:pPr>
            <w:r>
              <w:rPr>
                <w:rFonts w:hint="eastAsia" w:ascii="仿宋_GB2312" w:hAnsi="新宋体" w:eastAsia="仿宋_GB2312" w:cs="仿宋_GB2312"/>
                <w:kern w:val="0"/>
              </w:rPr>
              <w:t>通过对部门本年度结转结余总额与支出预算数的比较，反映和评价部门对本年度结转结余资金的实际控制程度。</w:t>
            </w:r>
          </w:p>
          <w:p w14:paraId="194A9381">
            <w:pPr>
              <w:widowControl/>
              <w:spacing w:line="240" w:lineRule="exact"/>
              <w:jc w:val="left"/>
              <w:rPr>
                <w:rFonts w:cs="Times New Roman"/>
              </w:rPr>
            </w:pPr>
            <w:r>
              <w:rPr>
                <w:rFonts w:hint="eastAsia" w:ascii="仿宋_GB2312" w:hAnsi="新宋体" w:eastAsia="仿宋_GB2312" w:cs="仿宋_GB2312"/>
                <w:kern w:val="0"/>
              </w:rPr>
              <w:t>结转结余率</w:t>
            </w:r>
            <w:r>
              <w:rPr>
                <w:rFonts w:ascii="仿宋_GB2312" w:hAnsi="新宋体" w:eastAsia="仿宋_GB2312" w:cs="仿宋_GB2312"/>
                <w:kern w:val="0"/>
              </w:rPr>
              <w:t>=</w:t>
            </w:r>
            <w:r>
              <w:rPr>
                <w:rFonts w:hint="eastAsia" w:ascii="仿宋_GB2312" w:hAnsi="新宋体" w:eastAsia="仿宋_GB2312" w:cs="仿宋_GB2312"/>
                <w:kern w:val="0"/>
              </w:rPr>
              <w:t>（结转结余总额</w:t>
            </w:r>
            <w:r>
              <w:rPr>
                <w:rFonts w:ascii="仿宋_GB2312" w:hAnsi="新宋体" w:eastAsia="仿宋_GB2312" w:cs="仿宋_GB2312"/>
                <w:kern w:val="0"/>
              </w:rPr>
              <w:t>/</w:t>
            </w:r>
            <w:r>
              <w:rPr>
                <w:rFonts w:hint="eastAsia" w:ascii="仿宋_GB2312" w:hAnsi="新宋体" w:eastAsia="仿宋_GB2312" w:cs="仿宋_GB2312"/>
                <w:kern w:val="0"/>
              </w:rPr>
              <w:t>支出预算数）×</w:t>
            </w:r>
            <w:r>
              <w:rPr>
                <w:rFonts w:ascii="仿宋_GB2312" w:hAnsi="新宋体" w:eastAsia="仿宋_GB2312" w:cs="仿宋_GB2312"/>
                <w:kern w:val="0"/>
              </w:rPr>
              <w:t>100%</w:t>
            </w:r>
            <w:r>
              <w:rPr>
                <w:rFonts w:hint="eastAsia" w:ascii="仿宋_GB2312" w:hAnsi="新宋体" w:eastAsia="仿宋_GB2312" w:cs="仿宋_GB2312"/>
                <w:kern w:val="0"/>
              </w:rPr>
              <w:t>。</w:t>
            </w:r>
          </w:p>
        </w:tc>
        <w:tc>
          <w:tcPr>
            <w:tcW w:w="2550" w:type="dxa"/>
            <w:tcBorders>
              <w:left w:val="single" w:color="auto" w:sz="4" w:space="0"/>
              <w:right w:val="single" w:color="auto" w:sz="4" w:space="0"/>
            </w:tcBorders>
            <w:vAlign w:val="center"/>
          </w:tcPr>
          <w:p w14:paraId="1AC63705">
            <w:pPr>
              <w:widowControl/>
              <w:spacing w:line="240" w:lineRule="exact"/>
              <w:jc w:val="left"/>
              <w:rPr>
                <w:rFonts w:cs="Times New Roman"/>
              </w:rPr>
            </w:pPr>
            <w:r>
              <w:rPr>
                <w:rFonts w:ascii="仿宋_GB2312" w:hAnsi="新宋体" w:eastAsia="仿宋_GB2312" w:cs="仿宋_GB2312"/>
                <w:kern w:val="0"/>
              </w:rPr>
              <w:t>1.</w:t>
            </w:r>
            <w:r>
              <w:rPr>
                <w:rFonts w:hint="eastAsia" w:ascii="仿宋_GB2312" w:hAnsi="新宋体" w:eastAsia="仿宋_GB2312" w:cs="仿宋_GB2312"/>
                <w:kern w:val="0"/>
              </w:rPr>
              <w:t>结转结余率等于</w:t>
            </w:r>
            <w:r>
              <w:rPr>
                <w:rFonts w:ascii="仿宋_GB2312" w:hAnsi="新宋体" w:eastAsia="仿宋_GB2312" w:cs="仿宋_GB2312"/>
                <w:kern w:val="0"/>
              </w:rPr>
              <w:t>0</w:t>
            </w:r>
            <w:r>
              <w:rPr>
                <w:rFonts w:hint="eastAsia" w:ascii="仿宋_GB2312" w:hAnsi="新宋体" w:eastAsia="仿宋_GB2312" w:cs="仿宋_GB2312"/>
                <w:kern w:val="0"/>
              </w:rPr>
              <w:t>的，得满分；</w:t>
            </w:r>
          </w:p>
          <w:p w14:paraId="58A62A9E">
            <w:pPr>
              <w:widowControl/>
              <w:spacing w:line="240" w:lineRule="exact"/>
              <w:jc w:val="left"/>
              <w:rPr>
                <w:rFonts w:cs="Times New Roman"/>
              </w:rPr>
            </w:pPr>
            <w:r>
              <w:rPr>
                <w:rFonts w:ascii="仿宋_GB2312" w:hAnsi="新宋体" w:eastAsia="仿宋_GB2312" w:cs="仿宋_GB2312"/>
                <w:kern w:val="0"/>
              </w:rPr>
              <w:t>2.</w:t>
            </w:r>
            <w:r>
              <w:rPr>
                <w:rFonts w:hint="eastAsia" w:ascii="仿宋_GB2312" w:hAnsi="新宋体" w:eastAsia="仿宋_GB2312" w:cs="仿宋_GB2312"/>
                <w:kern w:val="0"/>
              </w:rPr>
              <w:t>结转结余率大于或等于</w:t>
            </w:r>
            <w:r>
              <w:rPr>
                <w:rFonts w:ascii="仿宋_GB2312" w:hAnsi="新宋体" w:eastAsia="仿宋_GB2312" w:cs="仿宋_GB2312"/>
                <w:kern w:val="0"/>
              </w:rPr>
              <w:t>50%</w:t>
            </w:r>
            <w:r>
              <w:rPr>
                <w:rFonts w:hint="eastAsia" w:ascii="仿宋_GB2312" w:hAnsi="新宋体" w:eastAsia="仿宋_GB2312" w:cs="仿宋_GB2312"/>
                <w:kern w:val="0"/>
              </w:rPr>
              <w:t>的，得</w:t>
            </w:r>
            <w:r>
              <w:rPr>
                <w:rFonts w:ascii="仿宋_GB2312" w:hAnsi="新宋体" w:eastAsia="仿宋_GB2312" w:cs="仿宋_GB2312"/>
                <w:kern w:val="0"/>
              </w:rPr>
              <w:t>0</w:t>
            </w:r>
            <w:r>
              <w:rPr>
                <w:rFonts w:hint="eastAsia" w:ascii="仿宋_GB2312" w:hAnsi="新宋体" w:eastAsia="仿宋_GB2312" w:cs="仿宋_GB2312"/>
                <w:kern w:val="0"/>
              </w:rPr>
              <w:t>分；</w:t>
            </w:r>
          </w:p>
          <w:p w14:paraId="155B6EE9">
            <w:pPr>
              <w:widowControl/>
              <w:spacing w:line="240" w:lineRule="exact"/>
              <w:jc w:val="left"/>
              <w:rPr>
                <w:rFonts w:cs="Times New Roman"/>
              </w:rPr>
            </w:pPr>
            <w:r>
              <w:rPr>
                <w:rFonts w:ascii="仿宋_GB2312" w:hAnsi="新宋体" w:eastAsia="仿宋_GB2312" w:cs="仿宋_GB2312"/>
                <w:kern w:val="0"/>
              </w:rPr>
              <w:t>3.</w:t>
            </w:r>
            <w:r>
              <w:rPr>
                <w:rFonts w:hint="eastAsia" w:ascii="仿宋_GB2312" w:hAnsi="新宋体" w:eastAsia="仿宋_GB2312" w:cs="仿宋_GB2312"/>
                <w:kern w:val="0"/>
              </w:rPr>
              <w:t>结转结余率在</w:t>
            </w:r>
            <w:r>
              <w:rPr>
                <w:rFonts w:ascii="仿宋_GB2312" w:hAnsi="新宋体" w:eastAsia="仿宋_GB2312" w:cs="仿宋_GB2312"/>
                <w:kern w:val="0"/>
              </w:rPr>
              <w:t>0-50%</w:t>
            </w:r>
            <w:r>
              <w:rPr>
                <w:rFonts w:hint="eastAsia" w:ascii="仿宋_GB2312" w:hAnsi="新宋体" w:eastAsia="仿宋_GB2312" w:cs="仿宋_GB2312"/>
                <w:kern w:val="0"/>
              </w:rPr>
              <w:t>之间的，在</w:t>
            </w:r>
            <w:r>
              <w:rPr>
                <w:rFonts w:ascii="仿宋_GB2312" w:hAnsi="新宋体" w:eastAsia="仿宋_GB2312" w:cs="仿宋_GB2312"/>
                <w:kern w:val="0"/>
              </w:rPr>
              <w:t>0</w:t>
            </w:r>
            <w:r>
              <w:rPr>
                <w:rFonts w:hint="eastAsia" w:ascii="仿宋_GB2312" w:hAnsi="新宋体" w:eastAsia="仿宋_GB2312" w:cs="仿宋_GB2312"/>
                <w:kern w:val="0"/>
              </w:rPr>
              <w:t>和满分之间计算确定：</w:t>
            </w:r>
          </w:p>
          <w:p w14:paraId="189D1495">
            <w:pPr>
              <w:widowControl/>
              <w:spacing w:line="240" w:lineRule="exact"/>
              <w:jc w:val="left"/>
              <w:rPr>
                <w:rFonts w:cs="Times New Roman"/>
              </w:rPr>
            </w:pPr>
            <w:r>
              <w:rPr>
                <w:rFonts w:hint="eastAsia" w:ascii="仿宋_GB2312" w:hAnsi="新宋体" w:eastAsia="仿宋_GB2312" w:cs="仿宋_GB2312"/>
                <w:kern w:val="0"/>
              </w:rPr>
              <w:t>得分</w:t>
            </w:r>
            <w:r>
              <w:rPr>
                <w:rFonts w:ascii="仿宋_GB2312" w:hAnsi="新宋体" w:eastAsia="仿宋_GB2312" w:cs="仿宋_GB2312"/>
                <w:kern w:val="0"/>
              </w:rPr>
              <w:t>=[max</w:t>
            </w:r>
            <w:r>
              <w:rPr>
                <w:rFonts w:hint="eastAsia" w:ascii="仿宋_GB2312" w:hAnsi="新宋体" w:eastAsia="仿宋_GB2312" w:cs="仿宋_GB2312"/>
                <w:kern w:val="0"/>
              </w:rPr>
              <w:t>（结转结余率）－某部门结转结余率</w:t>
            </w:r>
            <w:r>
              <w:rPr>
                <w:rFonts w:ascii="仿宋_GB2312" w:hAnsi="新宋体" w:eastAsia="仿宋_GB2312" w:cs="仿宋_GB2312"/>
                <w:kern w:val="0"/>
              </w:rPr>
              <w:t>]/[max</w:t>
            </w:r>
            <w:r>
              <w:rPr>
                <w:rFonts w:hint="eastAsia" w:ascii="仿宋_GB2312" w:hAnsi="新宋体" w:eastAsia="仿宋_GB2312" w:cs="仿宋_GB2312"/>
                <w:kern w:val="0"/>
              </w:rPr>
              <w:t>（结转结余率）－</w:t>
            </w:r>
            <w:r>
              <w:rPr>
                <w:rFonts w:ascii="仿宋_GB2312" w:hAnsi="新宋体" w:eastAsia="仿宋_GB2312" w:cs="仿宋_GB2312"/>
                <w:kern w:val="0"/>
              </w:rPr>
              <w:t>min</w:t>
            </w:r>
            <w:r>
              <w:rPr>
                <w:rFonts w:hint="eastAsia" w:ascii="仿宋_GB2312" w:hAnsi="新宋体" w:eastAsia="仿宋_GB2312" w:cs="仿宋_GB2312"/>
                <w:kern w:val="0"/>
              </w:rPr>
              <w:t>（结转结余率）</w:t>
            </w:r>
            <w:r>
              <w:rPr>
                <w:rFonts w:ascii="仿宋_GB2312" w:hAnsi="新宋体" w:eastAsia="仿宋_GB2312" w:cs="仿宋_GB2312"/>
                <w:kern w:val="0"/>
              </w:rPr>
              <w:t>]</w:t>
            </w:r>
            <w:r>
              <w:rPr>
                <w:rFonts w:hint="eastAsia" w:ascii="仿宋_GB2312" w:hAnsi="新宋体" w:eastAsia="仿宋_GB2312" w:cs="仿宋_GB2312"/>
                <w:kern w:val="0"/>
              </w:rPr>
              <w:t>×该指标分值。</w:t>
            </w:r>
          </w:p>
        </w:tc>
        <w:tc>
          <w:tcPr>
            <w:tcW w:w="765" w:type="dxa"/>
            <w:tcBorders>
              <w:left w:val="single" w:color="auto" w:sz="4" w:space="0"/>
            </w:tcBorders>
            <w:vAlign w:val="center"/>
          </w:tcPr>
          <w:p w14:paraId="7AC84F07">
            <w:pPr>
              <w:widowControl/>
              <w:spacing w:line="240" w:lineRule="exact"/>
              <w:jc w:val="center"/>
            </w:pPr>
            <w:r>
              <w:t>4</w:t>
            </w:r>
          </w:p>
        </w:tc>
      </w:tr>
      <w:tr w14:paraId="68E26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95" w:type="dxa"/>
            <w:vMerge w:val="continue"/>
            <w:vAlign w:val="center"/>
          </w:tcPr>
          <w:p w14:paraId="27601DA3">
            <w:pPr>
              <w:spacing w:line="240" w:lineRule="exact"/>
              <w:rPr>
                <w:rFonts w:ascii="宋体" w:cs="Times New Roman"/>
              </w:rPr>
            </w:pPr>
          </w:p>
        </w:tc>
        <w:tc>
          <w:tcPr>
            <w:tcW w:w="765" w:type="dxa"/>
            <w:vMerge w:val="continue"/>
            <w:vAlign w:val="center"/>
          </w:tcPr>
          <w:p w14:paraId="174C1855">
            <w:pPr>
              <w:spacing w:line="240" w:lineRule="exact"/>
              <w:rPr>
                <w:rFonts w:ascii="宋体" w:cs="Times New Roman"/>
              </w:rPr>
            </w:pPr>
          </w:p>
        </w:tc>
        <w:tc>
          <w:tcPr>
            <w:tcW w:w="990" w:type="dxa"/>
            <w:tcBorders>
              <w:right w:val="single" w:color="auto" w:sz="4" w:space="0"/>
            </w:tcBorders>
            <w:vAlign w:val="center"/>
          </w:tcPr>
          <w:p w14:paraId="409F7BDE">
            <w:pPr>
              <w:widowControl/>
              <w:spacing w:line="240" w:lineRule="exact"/>
              <w:jc w:val="left"/>
              <w:rPr>
                <w:rFonts w:cs="Times New Roman"/>
              </w:rPr>
            </w:pPr>
            <w:r>
              <w:rPr>
                <w:rFonts w:hint="eastAsia" w:ascii="仿宋_GB2312" w:hAnsi="新宋体" w:eastAsia="仿宋_GB2312" w:cs="仿宋_GB2312"/>
                <w:kern w:val="0"/>
              </w:rPr>
              <w:t>公用经费控制率（</w:t>
            </w:r>
            <w:r>
              <w:rPr>
                <w:rFonts w:ascii="仿宋_GB2312" w:hAnsi="新宋体" w:eastAsia="仿宋_GB2312" w:cs="仿宋_GB2312"/>
                <w:kern w:val="0"/>
              </w:rPr>
              <w:t>4</w:t>
            </w:r>
            <w:r>
              <w:rPr>
                <w:rFonts w:hint="eastAsia" w:ascii="仿宋_GB2312" w:hAnsi="新宋体" w:eastAsia="仿宋_GB2312" w:cs="仿宋_GB2312"/>
                <w:kern w:val="0"/>
              </w:rPr>
              <w:t>分）</w:t>
            </w:r>
          </w:p>
        </w:tc>
        <w:tc>
          <w:tcPr>
            <w:tcW w:w="3975" w:type="dxa"/>
            <w:tcBorders>
              <w:left w:val="single" w:color="auto" w:sz="4" w:space="0"/>
              <w:right w:val="single" w:color="auto" w:sz="4" w:space="0"/>
            </w:tcBorders>
            <w:vAlign w:val="center"/>
          </w:tcPr>
          <w:p w14:paraId="33CFAA04">
            <w:pPr>
              <w:widowControl/>
              <w:spacing w:line="240" w:lineRule="exact"/>
              <w:jc w:val="left"/>
              <w:rPr>
                <w:rFonts w:cs="Times New Roman"/>
              </w:rPr>
            </w:pPr>
            <w:r>
              <w:rPr>
                <w:rFonts w:hint="eastAsia" w:ascii="仿宋_GB2312" w:hAnsi="新宋体" w:eastAsia="仿宋_GB2312" w:cs="仿宋_GB2312"/>
                <w:kern w:val="0"/>
              </w:rPr>
              <w:t>通过对部门本年度实际支出的公用经费总额与预算安排的公用经费总额的比率，反映和评价部门对机构运转成本的实际控制程度。</w:t>
            </w:r>
          </w:p>
          <w:p w14:paraId="5D397CA8">
            <w:pPr>
              <w:widowControl/>
              <w:spacing w:line="240" w:lineRule="exact"/>
              <w:jc w:val="left"/>
              <w:rPr>
                <w:rFonts w:cs="Times New Roman"/>
              </w:rPr>
            </w:pPr>
            <w:r>
              <w:rPr>
                <w:rFonts w:hint="eastAsia" w:ascii="仿宋_GB2312" w:hAnsi="新宋体" w:eastAsia="仿宋_GB2312" w:cs="仿宋_GB2312"/>
                <w:kern w:val="0"/>
              </w:rPr>
              <w:t>公用经费控制率</w:t>
            </w:r>
            <w:r>
              <w:rPr>
                <w:rFonts w:ascii="仿宋_GB2312" w:hAnsi="新宋体" w:eastAsia="仿宋_GB2312" w:cs="仿宋_GB2312"/>
                <w:kern w:val="0"/>
              </w:rPr>
              <w:t>=</w:t>
            </w:r>
            <w:r>
              <w:rPr>
                <w:rFonts w:hint="eastAsia" w:ascii="仿宋_GB2312" w:hAnsi="新宋体" w:eastAsia="仿宋_GB2312" w:cs="仿宋_GB2312"/>
                <w:kern w:val="0"/>
              </w:rPr>
              <w:t>（实际支出公用经费总额</w:t>
            </w:r>
            <w:r>
              <w:rPr>
                <w:rFonts w:ascii="仿宋_GB2312" w:hAnsi="新宋体" w:eastAsia="仿宋_GB2312" w:cs="仿宋_GB2312"/>
                <w:kern w:val="0"/>
              </w:rPr>
              <w:t>/</w:t>
            </w:r>
            <w:r>
              <w:rPr>
                <w:rFonts w:hint="eastAsia" w:ascii="仿宋_GB2312" w:hAnsi="新宋体" w:eastAsia="仿宋_GB2312" w:cs="仿宋_GB2312"/>
                <w:kern w:val="0"/>
              </w:rPr>
              <w:t>预算安排公用经费总额）×</w:t>
            </w:r>
            <w:r>
              <w:rPr>
                <w:rFonts w:ascii="仿宋_GB2312" w:hAnsi="新宋体" w:eastAsia="仿宋_GB2312" w:cs="仿宋_GB2312"/>
                <w:kern w:val="0"/>
              </w:rPr>
              <w:t>100%</w:t>
            </w:r>
            <w:r>
              <w:rPr>
                <w:rFonts w:hint="eastAsia" w:ascii="仿宋_GB2312" w:hAnsi="新宋体" w:eastAsia="仿宋_GB2312" w:cs="仿宋_GB2312"/>
                <w:kern w:val="0"/>
              </w:rPr>
              <w:t>。</w:t>
            </w:r>
          </w:p>
        </w:tc>
        <w:tc>
          <w:tcPr>
            <w:tcW w:w="2550" w:type="dxa"/>
            <w:tcBorders>
              <w:left w:val="single" w:color="auto" w:sz="4" w:space="0"/>
              <w:right w:val="single" w:color="auto" w:sz="4" w:space="0"/>
            </w:tcBorders>
            <w:vAlign w:val="center"/>
          </w:tcPr>
          <w:p w14:paraId="15B21B31">
            <w:pPr>
              <w:widowControl/>
              <w:spacing w:line="240" w:lineRule="exact"/>
              <w:jc w:val="left"/>
              <w:rPr>
                <w:rFonts w:cs="Times New Roman"/>
              </w:rPr>
            </w:pPr>
            <w:r>
              <w:rPr>
                <w:rFonts w:ascii="仿宋_GB2312" w:hAnsi="新宋体" w:eastAsia="仿宋_GB2312" w:cs="仿宋_GB2312"/>
                <w:kern w:val="0"/>
              </w:rPr>
              <w:t>1.</w:t>
            </w:r>
            <w:r>
              <w:rPr>
                <w:rFonts w:hint="eastAsia" w:ascii="仿宋_GB2312" w:hAnsi="新宋体" w:eastAsia="仿宋_GB2312" w:cs="仿宋_GB2312"/>
                <w:kern w:val="0"/>
              </w:rPr>
              <w:t>公用经费控制率小于或等于</w:t>
            </w:r>
            <w:r>
              <w:rPr>
                <w:rFonts w:ascii="仿宋_GB2312" w:hAnsi="新宋体" w:eastAsia="仿宋_GB2312" w:cs="仿宋_GB2312"/>
                <w:kern w:val="0"/>
              </w:rPr>
              <w:t>100%</w:t>
            </w:r>
            <w:r>
              <w:rPr>
                <w:rFonts w:hint="eastAsia" w:ascii="仿宋_GB2312" w:hAnsi="新宋体" w:eastAsia="仿宋_GB2312" w:cs="仿宋_GB2312"/>
                <w:kern w:val="0"/>
              </w:rPr>
              <w:t>的，得满分；</w:t>
            </w:r>
          </w:p>
          <w:p w14:paraId="2398832B">
            <w:pPr>
              <w:widowControl/>
              <w:spacing w:line="240" w:lineRule="exact"/>
              <w:jc w:val="left"/>
              <w:rPr>
                <w:rFonts w:cs="Times New Roman"/>
              </w:rPr>
            </w:pPr>
            <w:r>
              <w:rPr>
                <w:rFonts w:ascii="仿宋_GB2312" w:hAnsi="新宋体" w:eastAsia="仿宋_GB2312" w:cs="仿宋_GB2312"/>
                <w:kern w:val="0"/>
              </w:rPr>
              <w:t>2.</w:t>
            </w:r>
            <w:r>
              <w:rPr>
                <w:rFonts w:hint="eastAsia" w:ascii="仿宋_GB2312" w:hAnsi="新宋体" w:eastAsia="仿宋_GB2312" w:cs="仿宋_GB2312"/>
                <w:kern w:val="0"/>
              </w:rPr>
              <w:t>公用经费控制率大于或等于</w:t>
            </w:r>
            <w:r>
              <w:rPr>
                <w:rFonts w:ascii="仿宋_GB2312" w:hAnsi="新宋体" w:eastAsia="仿宋_GB2312" w:cs="仿宋_GB2312"/>
                <w:kern w:val="0"/>
              </w:rPr>
              <w:t>105%</w:t>
            </w:r>
            <w:r>
              <w:rPr>
                <w:rFonts w:hint="eastAsia" w:ascii="仿宋_GB2312" w:hAnsi="新宋体" w:eastAsia="仿宋_GB2312" w:cs="仿宋_GB2312"/>
                <w:kern w:val="0"/>
              </w:rPr>
              <w:t>的，得</w:t>
            </w:r>
            <w:r>
              <w:rPr>
                <w:rFonts w:ascii="仿宋_GB2312" w:hAnsi="新宋体" w:eastAsia="仿宋_GB2312" w:cs="仿宋_GB2312"/>
                <w:kern w:val="0"/>
              </w:rPr>
              <w:t>0</w:t>
            </w:r>
            <w:r>
              <w:rPr>
                <w:rFonts w:hint="eastAsia" w:ascii="仿宋_GB2312" w:hAnsi="新宋体" w:eastAsia="仿宋_GB2312" w:cs="仿宋_GB2312"/>
                <w:kern w:val="0"/>
              </w:rPr>
              <w:t>分；</w:t>
            </w:r>
          </w:p>
          <w:p w14:paraId="17B1D4D4">
            <w:pPr>
              <w:widowControl/>
              <w:spacing w:line="240" w:lineRule="exact"/>
              <w:jc w:val="left"/>
              <w:rPr>
                <w:rFonts w:cs="Times New Roman"/>
              </w:rPr>
            </w:pPr>
            <w:r>
              <w:rPr>
                <w:rFonts w:ascii="仿宋_GB2312" w:hAnsi="新宋体" w:eastAsia="仿宋_GB2312" w:cs="仿宋_GB2312"/>
                <w:kern w:val="0"/>
              </w:rPr>
              <w:t>3.</w:t>
            </w:r>
            <w:r>
              <w:rPr>
                <w:rFonts w:hint="eastAsia" w:ascii="仿宋_GB2312" w:hAnsi="新宋体" w:eastAsia="仿宋_GB2312" w:cs="仿宋_GB2312"/>
                <w:kern w:val="0"/>
              </w:rPr>
              <w:t>公用经费控制率在</w:t>
            </w:r>
            <w:r>
              <w:rPr>
                <w:rFonts w:ascii="仿宋_GB2312" w:hAnsi="新宋体" w:eastAsia="仿宋_GB2312" w:cs="仿宋_GB2312"/>
                <w:kern w:val="0"/>
              </w:rPr>
              <w:t>100%-105%</w:t>
            </w:r>
            <w:r>
              <w:rPr>
                <w:rFonts w:hint="eastAsia" w:ascii="仿宋_GB2312" w:hAnsi="新宋体" w:eastAsia="仿宋_GB2312" w:cs="仿宋_GB2312"/>
                <w:kern w:val="0"/>
              </w:rPr>
              <w:t>之间的，在</w:t>
            </w:r>
            <w:r>
              <w:rPr>
                <w:rFonts w:ascii="仿宋_GB2312" w:hAnsi="新宋体" w:eastAsia="仿宋_GB2312" w:cs="仿宋_GB2312"/>
                <w:kern w:val="0"/>
              </w:rPr>
              <w:t>0</w:t>
            </w:r>
            <w:r>
              <w:rPr>
                <w:rFonts w:hint="eastAsia" w:ascii="仿宋_GB2312" w:hAnsi="新宋体" w:eastAsia="仿宋_GB2312" w:cs="仿宋_GB2312"/>
                <w:kern w:val="0"/>
              </w:rPr>
              <w:t>和满分之间计算确定：</w:t>
            </w:r>
          </w:p>
          <w:p w14:paraId="5DE220BF">
            <w:pPr>
              <w:widowControl/>
              <w:spacing w:line="240" w:lineRule="exact"/>
              <w:jc w:val="left"/>
              <w:rPr>
                <w:rFonts w:cs="Times New Roman"/>
              </w:rPr>
            </w:pPr>
            <w:r>
              <w:rPr>
                <w:rFonts w:hint="eastAsia" w:ascii="仿宋_GB2312" w:hAnsi="新宋体" w:eastAsia="仿宋_GB2312" w:cs="仿宋_GB2312"/>
                <w:kern w:val="0"/>
              </w:rPr>
              <w:t>得分</w:t>
            </w:r>
            <w:r>
              <w:rPr>
                <w:rFonts w:ascii="仿宋_GB2312" w:hAnsi="新宋体" w:eastAsia="仿宋_GB2312" w:cs="仿宋_GB2312"/>
                <w:kern w:val="0"/>
              </w:rPr>
              <w:t>=</w:t>
            </w:r>
            <w:r>
              <w:rPr>
                <w:rFonts w:hint="eastAsia" w:ascii="仿宋_GB2312" w:hAnsi="新宋体" w:eastAsia="仿宋_GB2312" w:cs="仿宋_GB2312"/>
                <w:kern w:val="0"/>
              </w:rPr>
              <w:t>［</w:t>
            </w:r>
            <w:r>
              <w:rPr>
                <w:rFonts w:ascii="仿宋_GB2312" w:hAnsi="新宋体" w:eastAsia="仿宋_GB2312" w:cs="仿宋_GB2312"/>
                <w:kern w:val="0"/>
              </w:rPr>
              <w:t>max</w:t>
            </w:r>
            <w:r>
              <w:rPr>
                <w:rFonts w:hint="eastAsia" w:ascii="仿宋_GB2312" w:hAnsi="新宋体" w:eastAsia="仿宋_GB2312" w:cs="仿宋_GB2312"/>
                <w:kern w:val="0"/>
              </w:rPr>
              <w:t>（公用经费控制率）</w:t>
            </w:r>
            <w:r>
              <w:rPr>
                <w:rFonts w:ascii="仿宋_GB2312" w:hAnsi="新宋体" w:eastAsia="仿宋_GB2312" w:cs="仿宋_GB2312"/>
                <w:kern w:val="0"/>
              </w:rPr>
              <w:t>-</w:t>
            </w:r>
            <w:r>
              <w:rPr>
                <w:rFonts w:hint="eastAsia" w:ascii="仿宋_GB2312" w:hAnsi="新宋体" w:eastAsia="仿宋_GB2312" w:cs="仿宋_GB2312"/>
                <w:kern w:val="0"/>
              </w:rPr>
              <w:t>某部门公用经费控制率］</w:t>
            </w:r>
            <w:r>
              <w:rPr>
                <w:rFonts w:ascii="仿宋_GB2312" w:hAnsi="新宋体" w:eastAsia="仿宋_GB2312" w:cs="仿宋_GB2312"/>
                <w:kern w:val="0"/>
              </w:rPr>
              <w:t>/</w:t>
            </w:r>
            <w:r>
              <w:rPr>
                <w:rFonts w:hint="eastAsia" w:ascii="仿宋_GB2312" w:hAnsi="新宋体" w:eastAsia="仿宋_GB2312" w:cs="仿宋_GB2312"/>
                <w:kern w:val="0"/>
              </w:rPr>
              <w:t>［</w:t>
            </w:r>
            <w:r>
              <w:rPr>
                <w:rFonts w:ascii="仿宋_GB2312" w:hAnsi="新宋体" w:eastAsia="仿宋_GB2312" w:cs="仿宋_GB2312"/>
                <w:kern w:val="0"/>
              </w:rPr>
              <w:t>max</w:t>
            </w:r>
            <w:r>
              <w:rPr>
                <w:rFonts w:hint="eastAsia" w:ascii="仿宋_GB2312" w:hAnsi="新宋体" w:eastAsia="仿宋_GB2312" w:cs="仿宋_GB2312"/>
                <w:kern w:val="0"/>
              </w:rPr>
              <w:t>（公用经费控制率）</w:t>
            </w:r>
            <w:r>
              <w:rPr>
                <w:rFonts w:ascii="仿宋_GB2312" w:hAnsi="新宋体" w:eastAsia="仿宋_GB2312" w:cs="仿宋_GB2312"/>
                <w:kern w:val="0"/>
              </w:rPr>
              <w:t>-min</w:t>
            </w:r>
            <w:r>
              <w:rPr>
                <w:rFonts w:hint="eastAsia" w:ascii="仿宋_GB2312" w:hAnsi="新宋体" w:eastAsia="仿宋_GB2312" w:cs="仿宋_GB2312"/>
                <w:kern w:val="0"/>
              </w:rPr>
              <w:t>（公用经费控制率）］×该指标分值。</w:t>
            </w:r>
          </w:p>
        </w:tc>
        <w:tc>
          <w:tcPr>
            <w:tcW w:w="765" w:type="dxa"/>
            <w:tcBorders>
              <w:left w:val="single" w:color="auto" w:sz="4" w:space="0"/>
            </w:tcBorders>
            <w:vAlign w:val="center"/>
          </w:tcPr>
          <w:p w14:paraId="5BFE20FE">
            <w:pPr>
              <w:widowControl/>
              <w:spacing w:line="240" w:lineRule="exact"/>
              <w:jc w:val="center"/>
            </w:pPr>
            <w:r>
              <w:t>4</w:t>
            </w:r>
          </w:p>
        </w:tc>
      </w:tr>
      <w:tr w14:paraId="714FA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95" w:type="dxa"/>
            <w:vMerge w:val="continue"/>
            <w:vAlign w:val="center"/>
          </w:tcPr>
          <w:p w14:paraId="253ABE98">
            <w:pPr>
              <w:spacing w:line="240" w:lineRule="exact"/>
              <w:rPr>
                <w:rFonts w:ascii="宋体" w:cs="Times New Roman"/>
              </w:rPr>
            </w:pPr>
          </w:p>
        </w:tc>
        <w:tc>
          <w:tcPr>
            <w:tcW w:w="765" w:type="dxa"/>
            <w:vMerge w:val="continue"/>
            <w:vAlign w:val="center"/>
          </w:tcPr>
          <w:p w14:paraId="2F2BB60A">
            <w:pPr>
              <w:spacing w:line="240" w:lineRule="exact"/>
              <w:rPr>
                <w:rFonts w:ascii="宋体" w:cs="Times New Roman"/>
              </w:rPr>
            </w:pPr>
          </w:p>
        </w:tc>
        <w:tc>
          <w:tcPr>
            <w:tcW w:w="990" w:type="dxa"/>
            <w:tcBorders>
              <w:right w:val="single" w:color="auto" w:sz="4" w:space="0"/>
            </w:tcBorders>
            <w:vAlign w:val="center"/>
          </w:tcPr>
          <w:p w14:paraId="3686902D">
            <w:pPr>
              <w:widowControl/>
              <w:spacing w:line="240" w:lineRule="exact"/>
              <w:jc w:val="left"/>
              <w:rPr>
                <w:rFonts w:cs="Times New Roman"/>
              </w:rPr>
            </w:pPr>
            <w:r>
              <w:rPr>
                <w:rFonts w:hint="eastAsia" w:ascii="仿宋_GB2312" w:hAnsi="新宋体" w:eastAsia="仿宋_GB2312" w:cs="仿宋_GB2312"/>
                <w:kern w:val="0"/>
              </w:rPr>
              <w:t>政府采购执行率（</w:t>
            </w:r>
            <w:r>
              <w:rPr>
                <w:rFonts w:ascii="仿宋_GB2312" w:hAnsi="新宋体" w:eastAsia="仿宋_GB2312" w:cs="仿宋_GB2312"/>
                <w:kern w:val="0"/>
              </w:rPr>
              <w:t>4</w:t>
            </w:r>
            <w:r>
              <w:rPr>
                <w:rFonts w:hint="eastAsia" w:ascii="仿宋_GB2312" w:hAnsi="新宋体" w:eastAsia="仿宋_GB2312" w:cs="仿宋_GB2312"/>
                <w:kern w:val="0"/>
              </w:rPr>
              <w:t>分）</w:t>
            </w:r>
          </w:p>
        </w:tc>
        <w:tc>
          <w:tcPr>
            <w:tcW w:w="3975" w:type="dxa"/>
            <w:tcBorders>
              <w:left w:val="single" w:color="auto" w:sz="4" w:space="0"/>
              <w:right w:val="single" w:color="auto" w:sz="4" w:space="0"/>
            </w:tcBorders>
            <w:vAlign w:val="center"/>
          </w:tcPr>
          <w:p w14:paraId="236F29AB">
            <w:pPr>
              <w:widowControl/>
              <w:spacing w:line="240" w:lineRule="exact"/>
              <w:jc w:val="left"/>
              <w:rPr>
                <w:rFonts w:cs="Times New Roman"/>
              </w:rPr>
            </w:pPr>
            <w:r>
              <w:rPr>
                <w:rFonts w:hint="eastAsia" w:ascii="仿宋_GB2312" w:hAnsi="新宋体" w:eastAsia="仿宋_GB2312" w:cs="仿宋_GB2312"/>
                <w:kern w:val="0"/>
              </w:rPr>
              <w:t>通过对部门本年度实际政府采购预算项目个数与政府采购预算项目个数的比较，反映和评价部门政府采购预算执行情况。</w:t>
            </w:r>
          </w:p>
          <w:p w14:paraId="6B7A912E">
            <w:pPr>
              <w:widowControl/>
              <w:spacing w:line="240" w:lineRule="exact"/>
              <w:jc w:val="left"/>
              <w:rPr>
                <w:rFonts w:cs="Times New Roman"/>
              </w:rPr>
            </w:pPr>
            <w:r>
              <w:rPr>
                <w:rFonts w:hint="eastAsia" w:ascii="仿宋_GB2312" w:hAnsi="新宋体" w:eastAsia="仿宋_GB2312" w:cs="仿宋_GB2312"/>
                <w:kern w:val="0"/>
              </w:rPr>
              <w:t>政府采购执行率</w:t>
            </w:r>
            <w:r>
              <w:rPr>
                <w:rFonts w:ascii="仿宋_GB2312" w:hAnsi="新宋体" w:eastAsia="仿宋_GB2312" w:cs="仿宋_GB2312"/>
                <w:kern w:val="0"/>
              </w:rPr>
              <w:t>=</w:t>
            </w:r>
            <w:r>
              <w:rPr>
                <w:rFonts w:hint="eastAsia" w:ascii="仿宋_GB2312" w:hAnsi="新宋体" w:eastAsia="仿宋_GB2312" w:cs="仿宋_GB2312"/>
                <w:kern w:val="0"/>
              </w:rPr>
              <w:t>（实际政府采购预算项目个数</w:t>
            </w:r>
            <w:r>
              <w:rPr>
                <w:rFonts w:ascii="仿宋_GB2312" w:hAnsi="新宋体" w:eastAsia="仿宋_GB2312" w:cs="仿宋_GB2312"/>
                <w:kern w:val="0"/>
              </w:rPr>
              <w:t>/</w:t>
            </w:r>
            <w:r>
              <w:rPr>
                <w:rFonts w:hint="eastAsia" w:ascii="仿宋_GB2312" w:hAnsi="新宋体" w:eastAsia="仿宋_GB2312" w:cs="仿宋_GB2312"/>
                <w:kern w:val="0"/>
              </w:rPr>
              <w:t>政府采购预算项目个数）×</w:t>
            </w:r>
            <w:r>
              <w:rPr>
                <w:rFonts w:ascii="仿宋_GB2312" w:hAnsi="新宋体" w:eastAsia="仿宋_GB2312" w:cs="仿宋_GB2312"/>
                <w:kern w:val="0"/>
              </w:rPr>
              <w:t>100%</w:t>
            </w:r>
            <w:r>
              <w:rPr>
                <w:rFonts w:hint="eastAsia" w:ascii="仿宋_GB2312" w:hAnsi="新宋体" w:eastAsia="仿宋_GB2312" w:cs="仿宋_GB2312"/>
                <w:kern w:val="0"/>
              </w:rPr>
              <w:t>。</w:t>
            </w:r>
          </w:p>
          <w:p w14:paraId="388566F5">
            <w:pPr>
              <w:widowControl/>
              <w:spacing w:line="240" w:lineRule="exact"/>
              <w:jc w:val="left"/>
              <w:rPr>
                <w:rFonts w:cs="Times New Roman"/>
              </w:rPr>
            </w:pPr>
            <w:r>
              <w:rPr>
                <w:rFonts w:hint="eastAsia" w:ascii="仿宋_GB2312" w:hAnsi="新宋体" w:eastAsia="仿宋_GB2312" w:cs="仿宋_GB2312"/>
                <w:kern w:val="0"/>
              </w:rPr>
              <w:t>政府采购项目中非预算内安排的项目除外。</w:t>
            </w:r>
          </w:p>
        </w:tc>
        <w:tc>
          <w:tcPr>
            <w:tcW w:w="2550" w:type="dxa"/>
            <w:tcBorders>
              <w:left w:val="single" w:color="auto" w:sz="4" w:space="0"/>
              <w:right w:val="single" w:color="auto" w:sz="4" w:space="0"/>
            </w:tcBorders>
            <w:vAlign w:val="center"/>
          </w:tcPr>
          <w:p w14:paraId="3D10F9F3">
            <w:pPr>
              <w:widowControl/>
              <w:spacing w:line="240" w:lineRule="exact"/>
              <w:jc w:val="left"/>
              <w:rPr>
                <w:rFonts w:cs="Times New Roman"/>
              </w:rPr>
            </w:pPr>
            <w:r>
              <w:rPr>
                <w:rFonts w:ascii="仿宋_GB2312" w:hAnsi="新宋体" w:eastAsia="仿宋_GB2312" w:cs="仿宋_GB2312"/>
                <w:kern w:val="0"/>
              </w:rPr>
              <w:t>1.</w:t>
            </w:r>
            <w:r>
              <w:rPr>
                <w:rFonts w:hint="eastAsia" w:ascii="仿宋_GB2312" w:hAnsi="新宋体" w:eastAsia="仿宋_GB2312" w:cs="仿宋_GB2312"/>
                <w:kern w:val="0"/>
              </w:rPr>
              <w:t>政府采购执行率等于</w:t>
            </w:r>
            <w:r>
              <w:rPr>
                <w:rFonts w:ascii="仿宋_GB2312" w:hAnsi="新宋体" w:eastAsia="仿宋_GB2312" w:cs="仿宋_GB2312"/>
                <w:kern w:val="0"/>
              </w:rPr>
              <w:t>100%</w:t>
            </w:r>
            <w:r>
              <w:rPr>
                <w:rFonts w:hint="eastAsia" w:ascii="仿宋_GB2312" w:hAnsi="新宋体" w:eastAsia="仿宋_GB2312" w:cs="仿宋_GB2312"/>
                <w:kern w:val="0"/>
              </w:rPr>
              <w:t>的，得满分；</w:t>
            </w:r>
          </w:p>
          <w:p w14:paraId="414BC3BF">
            <w:pPr>
              <w:widowControl/>
              <w:spacing w:line="240" w:lineRule="exact"/>
              <w:jc w:val="left"/>
              <w:rPr>
                <w:rFonts w:cs="Times New Roman"/>
              </w:rPr>
            </w:pPr>
            <w:r>
              <w:rPr>
                <w:rFonts w:ascii="仿宋_GB2312" w:hAnsi="新宋体" w:eastAsia="仿宋_GB2312" w:cs="仿宋_GB2312"/>
                <w:kern w:val="0"/>
              </w:rPr>
              <w:t>2.</w:t>
            </w:r>
            <w:r>
              <w:rPr>
                <w:rFonts w:hint="eastAsia" w:ascii="仿宋_GB2312" w:hAnsi="新宋体" w:eastAsia="仿宋_GB2312" w:cs="仿宋_GB2312"/>
                <w:kern w:val="0"/>
              </w:rPr>
              <w:t>政府采购执行率小于或等于</w:t>
            </w:r>
            <w:r>
              <w:rPr>
                <w:rFonts w:ascii="仿宋_GB2312" w:hAnsi="新宋体" w:eastAsia="仿宋_GB2312" w:cs="仿宋_GB2312"/>
                <w:kern w:val="0"/>
              </w:rPr>
              <w:t>90%</w:t>
            </w:r>
            <w:r>
              <w:rPr>
                <w:rFonts w:hint="eastAsia" w:ascii="仿宋_GB2312" w:hAnsi="新宋体" w:eastAsia="仿宋_GB2312" w:cs="仿宋_GB2312"/>
                <w:kern w:val="0"/>
              </w:rPr>
              <w:t>的，</w:t>
            </w:r>
            <w:r>
              <w:rPr>
                <w:rFonts w:ascii="仿宋_GB2312" w:hAnsi="新宋体" w:eastAsia="仿宋_GB2312" w:cs="仿宋_GB2312"/>
                <w:kern w:val="0"/>
              </w:rPr>
              <w:t>0</w:t>
            </w:r>
            <w:r>
              <w:rPr>
                <w:rFonts w:hint="eastAsia" w:ascii="仿宋_GB2312" w:hAnsi="新宋体" w:eastAsia="仿宋_GB2312" w:cs="仿宋_GB2312"/>
                <w:kern w:val="0"/>
              </w:rPr>
              <w:t>分；</w:t>
            </w:r>
          </w:p>
          <w:p w14:paraId="102D28F3">
            <w:pPr>
              <w:widowControl/>
              <w:spacing w:line="240" w:lineRule="exact"/>
              <w:jc w:val="left"/>
              <w:rPr>
                <w:rFonts w:cs="Times New Roman"/>
              </w:rPr>
            </w:pPr>
            <w:r>
              <w:rPr>
                <w:rFonts w:ascii="仿宋_GB2312" w:hAnsi="新宋体" w:eastAsia="仿宋_GB2312" w:cs="仿宋_GB2312"/>
                <w:kern w:val="0"/>
              </w:rPr>
              <w:t>3.</w:t>
            </w:r>
            <w:r>
              <w:rPr>
                <w:rFonts w:hint="eastAsia" w:ascii="仿宋_GB2312" w:hAnsi="新宋体" w:eastAsia="仿宋_GB2312" w:cs="仿宋_GB2312"/>
                <w:kern w:val="0"/>
              </w:rPr>
              <w:t>政府采购执行率在</w:t>
            </w:r>
            <w:r>
              <w:rPr>
                <w:rFonts w:ascii="仿宋_GB2312" w:hAnsi="新宋体" w:eastAsia="仿宋_GB2312" w:cs="仿宋_GB2312"/>
                <w:kern w:val="0"/>
              </w:rPr>
              <w:t>90%-100%</w:t>
            </w:r>
            <w:r>
              <w:rPr>
                <w:rFonts w:hint="eastAsia" w:ascii="仿宋_GB2312" w:hAnsi="新宋体" w:eastAsia="仿宋_GB2312" w:cs="仿宋_GB2312"/>
                <w:kern w:val="0"/>
              </w:rPr>
              <w:t>之间的，在</w:t>
            </w:r>
            <w:r>
              <w:rPr>
                <w:rFonts w:ascii="仿宋_GB2312" w:hAnsi="新宋体" w:eastAsia="仿宋_GB2312" w:cs="仿宋_GB2312"/>
                <w:kern w:val="0"/>
              </w:rPr>
              <w:t>0</w:t>
            </w:r>
            <w:r>
              <w:rPr>
                <w:rFonts w:hint="eastAsia" w:ascii="仿宋_GB2312" w:hAnsi="新宋体" w:eastAsia="仿宋_GB2312" w:cs="仿宋_GB2312"/>
                <w:kern w:val="0"/>
              </w:rPr>
              <w:t>和满分之间计算确定：</w:t>
            </w:r>
          </w:p>
          <w:p w14:paraId="245525A3">
            <w:pPr>
              <w:widowControl/>
              <w:spacing w:line="240" w:lineRule="exact"/>
              <w:jc w:val="left"/>
              <w:rPr>
                <w:rFonts w:cs="Times New Roman"/>
              </w:rPr>
            </w:pPr>
            <w:r>
              <w:rPr>
                <w:rFonts w:hint="eastAsia" w:ascii="仿宋_GB2312" w:hAnsi="新宋体" w:eastAsia="仿宋_GB2312" w:cs="仿宋_GB2312"/>
                <w:kern w:val="0"/>
              </w:rPr>
              <w:t>得分</w:t>
            </w:r>
            <w:r>
              <w:rPr>
                <w:rFonts w:ascii="仿宋_GB2312" w:hAnsi="新宋体" w:eastAsia="仿宋_GB2312" w:cs="仿宋_GB2312"/>
                <w:kern w:val="0"/>
              </w:rPr>
              <w:t>=</w:t>
            </w:r>
            <w:r>
              <w:rPr>
                <w:rFonts w:hint="eastAsia" w:ascii="仿宋_GB2312" w:hAnsi="新宋体" w:eastAsia="仿宋_GB2312" w:cs="仿宋_GB2312"/>
                <w:kern w:val="0"/>
              </w:rPr>
              <w:t>［某部门政府采购执行率</w:t>
            </w:r>
            <w:r>
              <w:rPr>
                <w:rFonts w:ascii="仿宋_GB2312" w:hAnsi="新宋体" w:eastAsia="仿宋_GB2312" w:cs="仿宋_GB2312"/>
                <w:kern w:val="0"/>
              </w:rPr>
              <w:t>-min</w:t>
            </w:r>
            <w:r>
              <w:rPr>
                <w:rFonts w:hint="eastAsia" w:ascii="仿宋_GB2312" w:hAnsi="新宋体" w:eastAsia="仿宋_GB2312" w:cs="仿宋_GB2312"/>
                <w:kern w:val="0"/>
              </w:rPr>
              <w:t>（政府采购执行率）］</w:t>
            </w:r>
            <w:r>
              <w:rPr>
                <w:rFonts w:ascii="仿宋_GB2312" w:hAnsi="新宋体" w:eastAsia="仿宋_GB2312" w:cs="仿宋_GB2312"/>
                <w:kern w:val="0"/>
              </w:rPr>
              <w:t>/</w:t>
            </w:r>
            <w:r>
              <w:rPr>
                <w:rFonts w:hint="eastAsia" w:ascii="仿宋_GB2312" w:hAnsi="新宋体" w:eastAsia="仿宋_GB2312" w:cs="仿宋_GB2312"/>
                <w:kern w:val="0"/>
              </w:rPr>
              <w:t>［</w:t>
            </w:r>
            <w:r>
              <w:rPr>
                <w:rFonts w:ascii="仿宋_GB2312" w:hAnsi="新宋体" w:eastAsia="仿宋_GB2312" w:cs="仿宋_GB2312"/>
                <w:kern w:val="0"/>
              </w:rPr>
              <w:t>max</w:t>
            </w:r>
            <w:r>
              <w:rPr>
                <w:rFonts w:hint="eastAsia" w:ascii="仿宋_GB2312" w:hAnsi="新宋体" w:eastAsia="仿宋_GB2312" w:cs="仿宋_GB2312"/>
                <w:kern w:val="0"/>
              </w:rPr>
              <w:t>（政府采购执行率）</w:t>
            </w:r>
            <w:r>
              <w:rPr>
                <w:rFonts w:ascii="仿宋_GB2312" w:hAnsi="新宋体" w:eastAsia="仿宋_GB2312" w:cs="仿宋_GB2312"/>
                <w:kern w:val="0"/>
              </w:rPr>
              <w:t>-min</w:t>
            </w:r>
            <w:r>
              <w:rPr>
                <w:rFonts w:hint="eastAsia" w:ascii="仿宋_GB2312" w:hAnsi="新宋体" w:eastAsia="仿宋_GB2312" w:cs="仿宋_GB2312"/>
                <w:kern w:val="0"/>
              </w:rPr>
              <w:t>（政府采购执行率）］×该指标分值。</w:t>
            </w:r>
          </w:p>
        </w:tc>
        <w:tc>
          <w:tcPr>
            <w:tcW w:w="765" w:type="dxa"/>
            <w:tcBorders>
              <w:left w:val="single" w:color="auto" w:sz="4" w:space="0"/>
            </w:tcBorders>
            <w:vAlign w:val="center"/>
          </w:tcPr>
          <w:p w14:paraId="3237AEA2">
            <w:pPr>
              <w:widowControl/>
              <w:spacing w:line="240" w:lineRule="exact"/>
              <w:jc w:val="center"/>
            </w:pPr>
            <w:r>
              <w:t>4</w:t>
            </w:r>
          </w:p>
        </w:tc>
      </w:tr>
      <w:tr w14:paraId="26035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0" w:hRule="atLeast"/>
        </w:trPr>
        <w:tc>
          <w:tcPr>
            <w:tcW w:w="795" w:type="dxa"/>
            <w:vMerge w:val="continue"/>
            <w:vAlign w:val="center"/>
          </w:tcPr>
          <w:p w14:paraId="5260C1DB">
            <w:pPr>
              <w:spacing w:line="240" w:lineRule="exact"/>
              <w:rPr>
                <w:rFonts w:ascii="宋体" w:cs="Times New Roman"/>
              </w:rPr>
            </w:pPr>
          </w:p>
        </w:tc>
        <w:tc>
          <w:tcPr>
            <w:tcW w:w="765" w:type="dxa"/>
            <w:vMerge w:val="restart"/>
            <w:vAlign w:val="center"/>
          </w:tcPr>
          <w:p w14:paraId="32EA4D32">
            <w:pPr>
              <w:widowControl/>
              <w:spacing w:line="240" w:lineRule="exact"/>
              <w:jc w:val="left"/>
              <w:rPr>
                <w:rFonts w:cs="Times New Roman"/>
              </w:rPr>
            </w:pPr>
            <w:r>
              <w:rPr>
                <w:rFonts w:hint="eastAsia" w:ascii="仿宋_GB2312" w:hAnsi="新宋体" w:eastAsia="仿宋_GB2312" w:cs="仿宋_GB2312"/>
                <w:kern w:val="0"/>
              </w:rPr>
              <w:t>预算管理情况</w:t>
            </w:r>
          </w:p>
          <w:p w14:paraId="6E5DBC75">
            <w:pPr>
              <w:widowControl/>
              <w:spacing w:line="240" w:lineRule="exact"/>
              <w:jc w:val="left"/>
              <w:rPr>
                <w:rFonts w:cs="Times New Roman"/>
              </w:rPr>
            </w:pPr>
            <w:r>
              <w:rPr>
                <w:rFonts w:hint="eastAsia" w:ascii="仿宋_GB2312" w:hAnsi="新宋体" w:eastAsia="仿宋_GB2312" w:cs="仿宋_GB2312"/>
                <w:kern w:val="0"/>
              </w:rPr>
              <w:t>（</w:t>
            </w:r>
            <w:r>
              <w:rPr>
                <w:rFonts w:ascii="仿宋_GB2312" w:hAnsi="新宋体" w:eastAsia="仿宋_GB2312" w:cs="仿宋_GB2312"/>
                <w:kern w:val="0"/>
              </w:rPr>
              <w:t>15</w:t>
            </w:r>
            <w:r>
              <w:rPr>
                <w:rFonts w:hint="eastAsia" w:ascii="仿宋_GB2312" w:hAnsi="新宋体" w:eastAsia="仿宋_GB2312" w:cs="仿宋_GB2312"/>
                <w:kern w:val="0"/>
              </w:rPr>
              <w:t>）</w:t>
            </w:r>
          </w:p>
        </w:tc>
        <w:tc>
          <w:tcPr>
            <w:tcW w:w="990" w:type="dxa"/>
            <w:tcBorders>
              <w:right w:val="single" w:color="auto" w:sz="4" w:space="0"/>
            </w:tcBorders>
            <w:vAlign w:val="center"/>
          </w:tcPr>
          <w:p w14:paraId="2EDBC927">
            <w:pPr>
              <w:widowControl/>
              <w:spacing w:line="240" w:lineRule="exact"/>
              <w:jc w:val="left"/>
              <w:rPr>
                <w:rFonts w:cs="Times New Roman"/>
              </w:rPr>
            </w:pPr>
            <w:r>
              <w:rPr>
                <w:rFonts w:hint="eastAsia" w:ascii="仿宋_GB2312" w:hAnsi="新宋体" w:eastAsia="仿宋_GB2312" w:cs="仿宋_GB2312"/>
                <w:kern w:val="0"/>
              </w:rPr>
              <w:t>资金使用合规性（</w:t>
            </w:r>
            <w:r>
              <w:rPr>
                <w:rFonts w:ascii="仿宋_GB2312" w:hAnsi="新宋体" w:eastAsia="仿宋_GB2312" w:cs="仿宋_GB2312"/>
                <w:kern w:val="0"/>
              </w:rPr>
              <w:t>8</w:t>
            </w:r>
            <w:r>
              <w:rPr>
                <w:rFonts w:hint="eastAsia" w:ascii="仿宋_GB2312" w:hAnsi="新宋体" w:eastAsia="仿宋_GB2312" w:cs="仿宋_GB2312"/>
                <w:kern w:val="0"/>
              </w:rPr>
              <w:t>分）</w:t>
            </w:r>
          </w:p>
        </w:tc>
        <w:tc>
          <w:tcPr>
            <w:tcW w:w="3975" w:type="dxa"/>
            <w:tcBorders>
              <w:left w:val="single" w:color="auto" w:sz="4" w:space="0"/>
              <w:right w:val="single" w:color="auto" w:sz="4" w:space="0"/>
            </w:tcBorders>
            <w:vAlign w:val="center"/>
          </w:tcPr>
          <w:p w14:paraId="1E8DCB2D">
            <w:pPr>
              <w:widowControl/>
              <w:spacing w:line="240" w:lineRule="exact"/>
              <w:jc w:val="left"/>
              <w:rPr>
                <w:rFonts w:cs="Times New Roman"/>
              </w:rPr>
            </w:pPr>
            <w:r>
              <w:rPr>
                <w:rFonts w:hint="eastAsia" w:ascii="仿宋_GB2312" w:hAnsi="新宋体" w:eastAsia="仿宋_GB2312" w:cs="仿宋_GB2312"/>
                <w:kern w:val="0"/>
              </w:rPr>
              <w:t>部门使用预算资金是否符合相关的预算财务管理制度的规定，反映和评价部门预算资金的规范运行情况。</w:t>
            </w:r>
          </w:p>
          <w:p w14:paraId="226F49C9">
            <w:pPr>
              <w:widowControl/>
              <w:spacing w:line="240" w:lineRule="exact"/>
              <w:jc w:val="left"/>
              <w:rPr>
                <w:rFonts w:cs="Times New Roman"/>
              </w:rPr>
            </w:pPr>
            <w:r>
              <w:rPr>
                <w:rFonts w:hint="eastAsia" w:ascii="仿宋_GB2312" w:hAnsi="新宋体" w:eastAsia="仿宋_GB2312" w:cs="仿宋_GB2312"/>
                <w:kern w:val="0"/>
              </w:rPr>
              <w:t>评价要点：</w:t>
            </w:r>
          </w:p>
          <w:p w14:paraId="10B5F0D5">
            <w:pPr>
              <w:widowControl/>
              <w:spacing w:line="240" w:lineRule="exact"/>
              <w:jc w:val="left"/>
              <w:rPr>
                <w:rFonts w:cs="Times New Roman"/>
              </w:rPr>
            </w:pPr>
            <w:r>
              <w:rPr>
                <w:rFonts w:ascii="仿宋_GB2312" w:hAnsi="新宋体" w:eastAsia="仿宋_GB2312" w:cs="仿宋_GB2312"/>
                <w:kern w:val="0"/>
              </w:rPr>
              <w:t>1.</w:t>
            </w:r>
            <w:r>
              <w:rPr>
                <w:rFonts w:hint="eastAsia" w:ascii="仿宋_GB2312" w:hAnsi="新宋体" w:eastAsia="仿宋_GB2312" w:cs="仿宋_GB2312"/>
                <w:kern w:val="0"/>
              </w:rPr>
              <w:t>符合国家财经法规和财务管理制度规定以及有关部门资金管理办法的规定；</w:t>
            </w:r>
          </w:p>
          <w:p w14:paraId="6186C57A">
            <w:pPr>
              <w:widowControl/>
              <w:spacing w:line="240" w:lineRule="exact"/>
              <w:jc w:val="left"/>
              <w:rPr>
                <w:rFonts w:cs="Times New Roman"/>
              </w:rPr>
            </w:pPr>
            <w:r>
              <w:rPr>
                <w:rFonts w:ascii="仿宋_GB2312" w:hAnsi="新宋体" w:eastAsia="仿宋_GB2312" w:cs="仿宋_GB2312"/>
                <w:kern w:val="0"/>
              </w:rPr>
              <w:t>2.</w:t>
            </w:r>
            <w:r>
              <w:rPr>
                <w:rFonts w:hint="eastAsia" w:ascii="仿宋_GB2312" w:hAnsi="新宋体" w:eastAsia="仿宋_GB2312" w:cs="仿宋_GB2312"/>
                <w:kern w:val="0"/>
              </w:rPr>
              <w:t>资金的拨付有完整的审批过程和手续；</w:t>
            </w:r>
          </w:p>
          <w:p w14:paraId="43C3D5F0">
            <w:pPr>
              <w:widowControl/>
              <w:spacing w:line="240" w:lineRule="exact"/>
              <w:jc w:val="left"/>
              <w:rPr>
                <w:rFonts w:cs="Times New Roman"/>
              </w:rPr>
            </w:pPr>
            <w:r>
              <w:rPr>
                <w:rFonts w:ascii="仿宋_GB2312" w:hAnsi="新宋体" w:eastAsia="仿宋_GB2312" w:cs="仿宋_GB2312"/>
                <w:kern w:val="0"/>
              </w:rPr>
              <w:t>3.</w:t>
            </w:r>
            <w:r>
              <w:rPr>
                <w:rFonts w:hint="eastAsia" w:ascii="仿宋_GB2312" w:hAnsi="新宋体" w:eastAsia="仿宋_GB2312" w:cs="仿宋_GB2312"/>
                <w:kern w:val="0"/>
              </w:rPr>
              <w:t>项目的重大开支经过评估论证；</w:t>
            </w:r>
          </w:p>
          <w:p w14:paraId="42129321">
            <w:pPr>
              <w:widowControl/>
              <w:spacing w:line="240" w:lineRule="exact"/>
              <w:jc w:val="left"/>
              <w:rPr>
                <w:rFonts w:cs="Times New Roman"/>
              </w:rPr>
            </w:pPr>
            <w:r>
              <w:rPr>
                <w:rFonts w:ascii="仿宋_GB2312" w:hAnsi="新宋体" w:eastAsia="仿宋_GB2312" w:cs="仿宋_GB2312"/>
                <w:kern w:val="0"/>
              </w:rPr>
              <w:t>4.</w:t>
            </w:r>
            <w:r>
              <w:rPr>
                <w:rFonts w:hint="eastAsia" w:ascii="仿宋_GB2312" w:hAnsi="新宋体" w:eastAsia="仿宋_GB2312" w:cs="仿宋_GB2312"/>
                <w:kern w:val="0"/>
              </w:rPr>
              <w:t>符合部门预算批复的用途；</w:t>
            </w:r>
          </w:p>
          <w:p w14:paraId="50537F08">
            <w:pPr>
              <w:widowControl/>
              <w:spacing w:line="240" w:lineRule="exact"/>
              <w:jc w:val="left"/>
              <w:rPr>
                <w:rFonts w:cs="Times New Roman"/>
              </w:rPr>
            </w:pPr>
            <w:r>
              <w:rPr>
                <w:rFonts w:ascii="仿宋_GB2312" w:hAnsi="新宋体" w:eastAsia="仿宋_GB2312" w:cs="仿宋_GB2312"/>
                <w:kern w:val="0"/>
              </w:rPr>
              <w:t>5.</w:t>
            </w:r>
            <w:r>
              <w:rPr>
                <w:rFonts w:hint="eastAsia" w:ascii="仿宋_GB2312" w:hAnsi="新宋体" w:eastAsia="仿宋_GB2312" w:cs="仿宋_GB2312"/>
                <w:kern w:val="0"/>
              </w:rPr>
              <w:t>不存在截留情况；</w:t>
            </w:r>
          </w:p>
          <w:p w14:paraId="27556C62">
            <w:pPr>
              <w:widowControl/>
              <w:spacing w:line="240" w:lineRule="exact"/>
              <w:jc w:val="left"/>
              <w:rPr>
                <w:rFonts w:cs="Times New Roman"/>
              </w:rPr>
            </w:pPr>
            <w:r>
              <w:rPr>
                <w:rFonts w:ascii="仿宋_GB2312" w:hAnsi="新宋体" w:eastAsia="仿宋_GB2312" w:cs="仿宋_GB2312"/>
                <w:kern w:val="0"/>
              </w:rPr>
              <w:t>6.</w:t>
            </w:r>
            <w:r>
              <w:rPr>
                <w:rFonts w:hint="eastAsia" w:ascii="仿宋_GB2312" w:hAnsi="新宋体" w:eastAsia="仿宋_GB2312" w:cs="仿宋_GB2312"/>
                <w:kern w:val="0"/>
              </w:rPr>
              <w:t>不存在挤占情况；</w:t>
            </w:r>
          </w:p>
          <w:p w14:paraId="0E07C475">
            <w:pPr>
              <w:widowControl/>
              <w:spacing w:line="240" w:lineRule="exact"/>
              <w:jc w:val="left"/>
              <w:rPr>
                <w:rFonts w:cs="Times New Roman"/>
              </w:rPr>
            </w:pPr>
            <w:r>
              <w:rPr>
                <w:rFonts w:ascii="仿宋_GB2312" w:hAnsi="新宋体" w:eastAsia="仿宋_GB2312" w:cs="仿宋_GB2312"/>
                <w:kern w:val="0"/>
              </w:rPr>
              <w:t>7.</w:t>
            </w:r>
            <w:r>
              <w:rPr>
                <w:rFonts w:hint="eastAsia" w:ascii="仿宋_GB2312" w:hAnsi="新宋体" w:eastAsia="仿宋_GB2312" w:cs="仿宋_GB2312"/>
                <w:kern w:val="0"/>
              </w:rPr>
              <w:t>不存在挪用情况；</w:t>
            </w:r>
          </w:p>
          <w:p w14:paraId="62731D17">
            <w:pPr>
              <w:widowControl/>
              <w:spacing w:line="240" w:lineRule="exact"/>
              <w:jc w:val="left"/>
              <w:rPr>
                <w:rFonts w:cs="Times New Roman"/>
              </w:rPr>
            </w:pPr>
            <w:r>
              <w:rPr>
                <w:rFonts w:ascii="仿宋_GB2312" w:hAnsi="新宋体" w:eastAsia="仿宋_GB2312" w:cs="仿宋_GB2312"/>
                <w:kern w:val="0"/>
              </w:rPr>
              <w:t>8.</w:t>
            </w:r>
            <w:r>
              <w:rPr>
                <w:rFonts w:hint="eastAsia" w:ascii="仿宋_GB2312" w:hAnsi="新宋体" w:eastAsia="仿宋_GB2312" w:cs="仿宋_GB2312"/>
                <w:kern w:val="0"/>
              </w:rPr>
              <w:t>不存在虚列支出情况。</w:t>
            </w:r>
          </w:p>
        </w:tc>
        <w:tc>
          <w:tcPr>
            <w:tcW w:w="2550" w:type="dxa"/>
            <w:tcBorders>
              <w:left w:val="single" w:color="auto" w:sz="4" w:space="0"/>
              <w:right w:val="single" w:color="auto" w:sz="4" w:space="0"/>
            </w:tcBorders>
            <w:vAlign w:val="center"/>
          </w:tcPr>
          <w:p w14:paraId="20B5D170">
            <w:pPr>
              <w:widowControl/>
              <w:spacing w:line="240" w:lineRule="exact"/>
              <w:jc w:val="left"/>
              <w:rPr>
                <w:rFonts w:cs="Times New Roman"/>
              </w:rPr>
            </w:pPr>
            <w:r>
              <w:rPr>
                <w:rFonts w:hint="eastAsia" w:ascii="仿宋_GB2312" w:hAnsi="新宋体" w:eastAsia="仿宋_GB2312" w:cs="仿宋_GB2312"/>
                <w:kern w:val="0"/>
              </w:rPr>
              <w:t>全部符合（</w:t>
            </w:r>
            <w:r>
              <w:rPr>
                <w:rFonts w:ascii="仿宋_GB2312" w:hAnsi="新宋体" w:eastAsia="仿宋_GB2312" w:cs="仿宋_GB2312"/>
                <w:kern w:val="0"/>
              </w:rPr>
              <w:t>8</w:t>
            </w:r>
            <w:r>
              <w:rPr>
                <w:rFonts w:hint="eastAsia" w:ascii="仿宋_GB2312" w:hAnsi="新宋体" w:eastAsia="仿宋_GB2312" w:cs="仿宋_GB2312"/>
                <w:kern w:val="0"/>
              </w:rPr>
              <w:t>）；</w:t>
            </w:r>
          </w:p>
          <w:p w14:paraId="4FBDBEA7">
            <w:pPr>
              <w:widowControl/>
              <w:spacing w:line="240" w:lineRule="exact"/>
              <w:jc w:val="left"/>
              <w:rPr>
                <w:rFonts w:cs="Times New Roman"/>
              </w:rPr>
            </w:pPr>
            <w:r>
              <w:rPr>
                <w:rFonts w:hint="eastAsia" w:ascii="仿宋_GB2312" w:hAnsi="新宋体" w:eastAsia="仿宋_GB2312" w:cs="仿宋_GB2312"/>
                <w:kern w:val="0"/>
              </w:rPr>
              <w:t>符合其中七项（</w:t>
            </w:r>
            <w:r>
              <w:rPr>
                <w:rFonts w:ascii="仿宋_GB2312" w:hAnsi="新宋体" w:eastAsia="仿宋_GB2312" w:cs="仿宋_GB2312"/>
                <w:kern w:val="0"/>
              </w:rPr>
              <w:t>6</w:t>
            </w:r>
            <w:r>
              <w:rPr>
                <w:rFonts w:hint="eastAsia" w:ascii="仿宋_GB2312" w:hAnsi="新宋体" w:eastAsia="仿宋_GB2312" w:cs="仿宋_GB2312"/>
                <w:kern w:val="0"/>
              </w:rPr>
              <w:t>）；</w:t>
            </w:r>
          </w:p>
          <w:p w14:paraId="4B4FE173">
            <w:pPr>
              <w:widowControl/>
              <w:spacing w:line="240" w:lineRule="exact"/>
              <w:jc w:val="left"/>
              <w:rPr>
                <w:rFonts w:cs="Times New Roman"/>
              </w:rPr>
            </w:pPr>
            <w:r>
              <w:rPr>
                <w:rFonts w:hint="eastAsia" w:ascii="仿宋_GB2312" w:hAnsi="新宋体" w:eastAsia="仿宋_GB2312" w:cs="仿宋_GB2312"/>
                <w:kern w:val="0"/>
              </w:rPr>
              <w:t>符合其中六项（</w:t>
            </w:r>
            <w:r>
              <w:rPr>
                <w:rFonts w:ascii="仿宋_GB2312" w:hAnsi="新宋体" w:eastAsia="仿宋_GB2312" w:cs="仿宋_GB2312"/>
                <w:kern w:val="0"/>
              </w:rPr>
              <w:t>4</w:t>
            </w:r>
            <w:r>
              <w:rPr>
                <w:rFonts w:hint="eastAsia" w:ascii="仿宋_GB2312" w:hAnsi="新宋体" w:eastAsia="仿宋_GB2312" w:cs="仿宋_GB2312"/>
                <w:kern w:val="0"/>
              </w:rPr>
              <w:t>）；</w:t>
            </w:r>
          </w:p>
          <w:p w14:paraId="2EAA18F3">
            <w:pPr>
              <w:widowControl/>
              <w:spacing w:line="240" w:lineRule="exact"/>
              <w:jc w:val="left"/>
              <w:rPr>
                <w:rFonts w:cs="Times New Roman"/>
              </w:rPr>
            </w:pPr>
            <w:r>
              <w:rPr>
                <w:rFonts w:hint="eastAsia" w:ascii="仿宋_GB2312" w:hAnsi="新宋体" w:eastAsia="仿宋_GB2312" w:cs="仿宋_GB2312"/>
                <w:kern w:val="0"/>
              </w:rPr>
              <w:t>符合其中五项（</w:t>
            </w:r>
            <w:r>
              <w:rPr>
                <w:rFonts w:ascii="仿宋_GB2312" w:hAnsi="新宋体" w:eastAsia="仿宋_GB2312" w:cs="仿宋_GB2312"/>
                <w:kern w:val="0"/>
              </w:rPr>
              <w:t>2</w:t>
            </w:r>
            <w:r>
              <w:rPr>
                <w:rFonts w:hint="eastAsia" w:ascii="仿宋_GB2312" w:hAnsi="新宋体" w:eastAsia="仿宋_GB2312" w:cs="仿宋_GB2312"/>
                <w:kern w:val="0"/>
              </w:rPr>
              <w:t>）；</w:t>
            </w:r>
          </w:p>
          <w:p w14:paraId="7F03ECFC">
            <w:pPr>
              <w:widowControl/>
              <w:spacing w:line="240" w:lineRule="exact"/>
              <w:jc w:val="left"/>
              <w:rPr>
                <w:rFonts w:cs="Times New Roman"/>
              </w:rPr>
            </w:pPr>
            <w:r>
              <w:rPr>
                <w:rFonts w:hint="eastAsia" w:ascii="仿宋_GB2312" w:hAnsi="新宋体" w:eastAsia="仿宋_GB2312" w:cs="仿宋_GB2312"/>
                <w:kern w:val="0"/>
              </w:rPr>
              <w:t>符合其中四项及以下（</w:t>
            </w:r>
            <w:r>
              <w:rPr>
                <w:rFonts w:ascii="仿宋_GB2312" w:hAnsi="新宋体" w:eastAsia="仿宋_GB2312" w:cs="仿宋_GB2312"/>
                <w:kern w:val="0"/>
              </w:rPr>
              <w:t>0</w:t>
            </w:r>
            <w:r>
              <w:rPr>
                <w:rFonts w:hint="eastAsia" w:ascii="仿宋_GB2312" w:hAnsi="新宋体" w:eastAsia="仿宋_GB2312" w:cs="仿宋_GB2312"/>
                <w:kern w:val="0"/>
              </w:rPr>
              <w:t>）。</w:t>
            </w:r>
          </w:p>
        </w:tc>
        <w:tc>
          <w:tcPr>
            <w:tcW w:w="765" w:type="dxa"/>
            <w:tcBorders>
              <w:left w:val="single" w:color="auto" w:sz="4" w:space="0"/>
            </w:tcBorders>
            <w:vAlign w:val="center"/>
          </w:tcPr>
          <w:p w14:paraId="4515C828">
            <w:pPr>
              <w:widowControl/>
              <w:spacing w:line="240" w:lineRule="exact"/>
              <w:jc w:val="center"/>
            </w:pPr>
            <w:r>
              <w:t>8</w:t>
            </w:r>
          </w:p>
        </w:tc>
      </w:tr>
      <w:tr w14:paraId="5FE99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5" w:hRule="atLeast"/>
        </w:trPr>
        <w:tc>
          <w:tcPr>
            <w:tcW w:w="795" w:type="dxa"/>
            <w:vMerge w:val="continue"/>
            <w:vAlign w:val="center"/>
          </w:tcPr>
          <w:p w14:paraId="5FB38FD1">
            <w:pPr>
              <w:spacing w:line="240" w:lineRule="exact"/>
              <w:rPr>
                <w:rFonts w:ascii="宋体" w:cs="Times New Roman"/>
              </w:rPr>
            </w:pPr>
          </w:p>
        </w:tc>
        <w:tc>
          <w:tcPr>
            <w:tcW w:w="765" w:type="dxa"/>
            <w:vMerge w:val="continue"/>
            <w:vAlign w:val="center"/>
          </w:tcPr>
          <w:p w14:paraId="4171F5B9">
            <w:pPr>
              <w:spacing w:line="240" w:lineRule="exact"/>
              <w:rPr>
                <w:rFonts w:ascii="宋体" w:cs="Times New Roman"/>
              </w:rPr>
            </w:pPr>
          </w:p>
        </w:tc>
        <w:tc>
          <w:tcPr>
            <w:tcW w:w="990" w:type="dxa"/>
            <w:tcBorders>
              <w:right w:val="single" w:color="auto" w:sz="4" w:space="0"/>
            </w:tcBorders>
            <w:vAlign w:val="center"/>
          </w:tcPr>
          <w:p w14:paraId="19C62C3C">
            <w:pPr>
              <w:widowControl/>
              <w:spacing w:line="240" w:lineRule="exact"/>
              <w:jc w:val="left"/>
              <w:rPr>
                <w:rFonts w:cs="Times New Roman"/>
              </w:rPr>
            </w:pPr>
            <w:r>
              <w:rPr>
                <w:rFonts w:hint="eastAsia" w:ascii="仿宋_GB2312" w:hAnsi="新宋体" w:eastAsia="仿宋_GB2312" w:cs="仿宋_GB2312"/>
                <w:kern w:val="0"/>
              </w:rPr>
              <w:t>预决算信息公开性（</w:t>
            </w:r>
            <w:r>
              <w:rPr>
                <w:rFonts w:ascii="仿宋_GB2312" w:hAnsi="新宋体" w:eastAsia="仿宋_GB2312" w:cs="仿宋_GB2312"/>
                <w:kern w:val="0"/>
              </w:rPr>
              <w:t>3</w:t>
            </w:r>
            <w:r>
              <w:rPr>
                <w:rFonts w:hint="eastAsia" w:ascii="仿宋_GB2312" w:hAnsi="新宋体" w:eastAsia="仿宋_GB2312" w:cs="仿宋_GB2312"/>
                <w:kern w:val="0"/>
              </w:rPr>
              <w:t>分）</w:t>
            </w:r>
          </w:p>
        </w:tc>
        <w:tc>
          <w:tcPr>
            <w:tcW w:w="3975" w:type="dxa"/>
            <w:tcBorders>
              <w:left w:val="single" w:color="auto" w:sz="4" w:space="0"/>
              <w:right w:val="single" w:color="auto" w:sz="4" w:space="0"/>
            </w:tcBorders>
            <w:vAlign w:val="center"/>
          </w:tcPr>
          <w:p w14:paraId="5A0AC2EF">
            <w:pPr>
              <w:widowControl/>
              <w:spacing w:line="240" w:lineRule="exact"/>
              <w:jc w:val="left"/>
              <w:rPr>
                <w:rFonts w:cs="Times New Roman"/>
              </w:rPr>
            </w:pPr>
            <w:r>
              <w:rPr>
                <w:rFonts w:hint="eastAsia" w:ascii="仿宋_GB2312" w:hAnsi="新宋体" w:eastAsia="仿宋_GB2312" w:cs="仿宋_GB2312"/>
                <w:kern w:val="0"/>
              </w:rPr>
              <w:t>部门是否按照政府信息公开有关规定公开相关预决算信息，用以反映和评价部门预决算管理的公开透明情况。</w:t>
            </w:r>
          </w:p>
          <w:p w14:paraId="1160B25B">
            <w:pPr>
              <w:widowControl/>
              <w:spacing w:line="240" w:lineRule="exact"/>
              <w:jc w:val="left"/>
              <w:rPr>
                <w:rFonts w:cs="Times New Roman"/>
              </w:rPr>
            </w:pPr>
            <w:r>
              <w:rPr>
                <w:rFonts w:hint="eastAsia" w:ascii="仿宋_GB2312" w:hAnsi="新宋体" w:eastAsia="仿宋_GB2312" w:cs="仿宋_GB2312"/>
                <w:kern w:val="0"/>
              </w:rPr>
              <w:t>预决算信息是指与部门预算、执行、决算、监督、绩效等管理相关的信息。</w:t>
            </w:r>
          </w:p>
          <w:p w14:paraId="03641208">
            <w:pPr>
              <w:widowControl/>
              <w:spacing w:line="240" w:lineRule="exact"/>
              <w:jc w:val="left"/>
              <w:rPr>
                <w:rFonts w:cs="Times New Roman"/>
              </w:rPr>
            </w:pPr>
            <w:r>
              <w:rPr>
                <w:rFonts w:hint="eastAsia" w:ascii="仿宋_GB2312" w:hAnsi="新宋体" w:eastAsia="仿宋_GB2312" w:cs="仿宋_GB2312"/>
                <w:kern w:val="0"/>
              </w:rPr>
              <w:t>评价要点：</w:t>
            </w:r>
          </w:p>
          <w:p w14:paraId="6337018A">
            <w:pPr>
              <w:widowControl/>
              <w:spacing w:line="240" w:lineRule="exact"/>
              <w:jc w:val="left"/>
              <w:rPr>
                <w:rFonts w:cs="Times New Roman"/>
              </w:rPr>
            </w:pPr>
            <w:r>
              <w:rPr>
                <w:rFonts w:ascii="仿宋_GB2312" w:hAnsi="新宋体" w:eastAsia="仿宋_GB2312" w:cs="仿宋_GB2312"/>
                <w:kern w:val="0"/>
              </w:rPr>
              <w:t>1.</w:t>
            </w:r>
            <w:r>
              <w:rPr>
                <w:rFonts w:hint="eastAsia" w:ascii="仿宋_GB2312" w:hAnsi="新宋体" w:eastAsia="仿宋_GB2312" w:cs="仿宋_GB2312"/>
                <w:kern w:val="0"/>
              </w:rPr>
              <w:t>公开预决算信息；</w:t>
            </w:r>
          </w:p>
          <w:p w14:paraId="1FCC4343">
            <w:pPr>
              <w:widowControl/>
              <w:spacing w:line="240" w:lineRule="exact"/>
              <w:jc w:val="left"/>
              <w:rPr>
                <w:rFonts w:cs="Times New Roman"/>
              </w:rPr>
            </w:pPr>
            <w:r>
              <w:rPr>
                <w:rFonts w:ascii="仿宋_GB2312" w:hAnsi="新宋体" w:eastAsia="仿宋_GB2312" w:cs="仿宋_GB2312"/>
                <w:kern w:val="0"/>
              </w:rPr>
              <w:t>2.</w:t>
            </w:r>
            <w:r>
              <w:rPr>
                <w:rFonts w:hint="eastAsia" w:ascii="仿宋_GB2312" w:hAnsi="新宋体" w:eastAsia="仿宋_GB2312" w:cs="仿宋_GB2312"/>
                <w:kern w:val="0"/>
              </w:rPr>
              <w:t>按规定内容公开预决算信息；</w:t>
            </w:r>
          </w:p>
          <w:p w14:paraId="1E5A141A">
            <w:pPr>
              <w:widowControl/>
              <w:spacing w:line="240" w:lineRule="exact"/>
              <w:jc w:val="left"/>
              <w:rPr>
                <w:rFonts w:cs="Times New Roman"/>
              </w:rPr>
            </w:pPr>
            <w:r>
              <w:rPr>
                <w:rFonts w:ascii="仿宋_GB2312" w:hAnsi="新宋体" w:eastAsia="仿宋_GB2312" w:cs="仿宋_GB2312"/>
                <w:kern w:val="0"/>
              </w:rPr>
              <w:t>3.</w:t>
            </w:r>
            <w:r>
              <w:rPr>
                <w:rFonts w:hint="eastAsia" w:ascii="仿宋_GB2312" w:hAnsi="新宋体" w:eastAsia="仿宋_GB2312" w:cs="仿宋_GB2312"/>
                <w:kern w:val="0"/>
              </w:rPr>
              <w:t>按规定时限公开预决算信息。</w:t>
            </w:r>
          </w:p>
        </w:tc>
        <w:tc>
          <w:tcPr>
            <w:tcW w:w="2550" w:type="dxa"/>
            <w:tcBorders>
              <w:left w:val="single" w:color="auto" w:sz="4" w:space="0"/>
              <w:right w:val="single" w:color="auto" w:sz="4" w:space="0"/>
            </w:tcBorders>
            <w:vAlign w:val="center"/>
          </w:tcPr>
          <w:p w14:paraId="04A7EE71">
            <w:pPr>
              <w:widowControl/>
              <w:spacing w:line="240" w:lineRule="exact"/>
              <w:jc w:val="left"/>
              <w:rPr>
                <w:rFonts w:cs="Times New Roman"/>
              </w:rPr>
            </w:pPr>
            <w:r>
              <w:rPr>
                <w:rFonts w:hint="eastAsia" w:ascii="仿宋_GB2312" w:hAnsi="新宋体" w:eastAsia="仿宋_GB2312" w:cs="仿宋_GB2312"/>
                <w:kern w:val="0"/>
              </w:rPr>
              <w:t>全部符合（</w:t>
            </w:r>
            <w:r>
              <w:rPr>
                <w:rFonts w:ascii="仿宋_GB2312" w:hAnsi="新宋体" w:eastAsia="仿宋_GB2312" w:cs="仿宋_GB2312"/>
                <w:kern w:val="0"/>
              </w:rPr>
              <w:t>3</w:t>
            </w:r>
            <w:r>
              <w:rPr>
                <w:rFonts w:hint="eastAsia" w:ascii="仿宋_GB2312" w:hAnsi="新宋体" w:eastAsia="仿宋_GB2312" w:cs="仿宋_GB2312"/>
                <w:kern w:val="0"/>
              </w:rPr>
              <w:t>）；</w:t>
            </w:r>
          </w:p>
          <w:p w14:paraId="6BABAD01">
            <w:pPr>
              <w:widowControl/>
              <w:spacing w:line="240" w:lineRule="exact"/>
              <w:jc w:val="left"/>
              <w:rPr>
                <w:rFonts w:cs="Times New Roman"/>
              </w:rPr>
            </w:pPr>
            <w:r>
              <w:rPr>
                <w:rFonts w:hint="eastAsia" w:ascii="仿宋_GB2312" w:hAnsi="新宋体" w:eastAsia="仿宋_GB2312" w:cs="仿宋_GB2312"/>
                <w:kern w:val="0"/>
              </w:rPr>
              <w:t>符合其中两项（</w:t>
            </w:r>
            <w:r>
              <w:rPr>
                <w:rFonts w:ascii="仿宋_GB2312" w:hAnsi="新宋体" w:eastAsia="仿宋_GB2312" w:cs="仿宋_GB2312"/>
                <w:kern w:val="0"/>
              </w:rPr>
              <w:t>2</w:t>
            </w:r>
            <w:r>
              <w:rPr>
                <w:rFonts w:hint="eastAsia" w:ascii="仿宋_GB2312" w:hAnsi="新宋体" w:eastAsia="仿宋_GB2312" w:cs="仿宋_GB2312"/>
                <w:kern w:val="0"/>
              </w:rPr>
              <w:t>）</w:t>
            </w:r>
          </w:p>
          <w:p w14:paraId="5207FBA9">
            <w:pPr>
              <w:widowControl/>
              <w:spacing w:line="240" w:lineRule="exact"/>
              <w:jc w:val="left"/>
              <w:rPr>
                <w:rFonts w:cs="Times New Roman"/>
              </w:rPr>
            </w:pPr>
            <w:r>
              <w:rPr>
                <w:rFonts w:hint="eastAsia" w:ascii="仿宋_GB2312" w:hAnsi="新宋体" w:eastAsia="仿宋_GB2312" w:cs="仿宋_GB2312"/>
                <w:kern w:val="0"/>
              </w:rPr>
              <w:t>符合其中一项及以下（</w:t>
            </w:r>
            <w:r>
              <w:rPr>
                <w:rFonts w:ascii="仿宋_GB2312" w:hAnsi="新宋体" w:eastAsia="仿宋_GB2312" w:cs="仿宋_GB2312"/>
                <w:kern w:val="0"/>
              </w:rPr>
              <w:t>0</w:t>
            </w:r>
            <w:r>
              <w:rPr>
                <w:rFonts w:hint="eastAsia" w:ascii="仿宋_GB2312" w:hAnsi="新宋体" w:eastAsia="仿宋_GB2312" w:cs="仿宋_GB2312"/>
                <w:kern w:val="0"/>
              </w:rPr>
              <w:t>）。</w:t>
            </w:r>
          </w:p>
        </w:tc>
        <w:tc>
          <w:tcPr>
            <w:tcW w:w="765" w:type="dxa"/>
            <w:tcBorders>
              <w:left w:val="single" w:color="auto" w:sz="4" w:space="0"/>
            </w:tcBorders>
            <w:vAlign w:val="center"/>
          </w:tcPr>
          <w:p w14:paraId="0AD4AACA">
            <w:pPr>
              <w:widowControl/>
              <w:spacing w:line="240" w:lineRule="exact"/>
              <w:jc w:val="center"/>
            </w:pPr>
            <w:r>
              <w:t>3</w:t>
            </w:r>
          </w:p>
        </w:tc>
      </w:tr>
      <w:tr w14:paraId="652D7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795" w:type="dxa"/>
            <w:vMerge w:val="continue"/>
            <w:vAlign w:val="center"/>
          </w:tcPr>
          <w:p w14:paraId="2570DB8A">
            <w:pPr>
              <w:spacing w:line="240" w:lineRule="exact"/>
              <w:rPr>
                <w:rFonts w:ascii="宋体" w:cs="Times New Roman"/>
              </w:rPr>
            </w:pPr>
          </w:p>
        </w:tc>
        <w:tc>
          <w:tcPr>
            <w:tcW w:w="765" w:type="dxa"/>
            <w:vMerge w:val="continue"/>
            <w:vAlign w:val="center"/>
          </w:tcPr>
          <w:p w14:paraId="61A3B2F8">
            <w:pPr>
              <w:spacing w:line="240" w:lineRule="exact"/>
              <w:rPr>
                <w:rFonts w:ascii="宋体" w:cs="Times New Roman"/>
              </w:rPr>
            </w:pPr>
          </w:p>
        </w:tc>
        <w:tc>
          <w:tcPr>
            <w:tcW w:w="990" w:type="dxa"/>
            <w:tcBorders>
              <w:right w:val="single" w:color="auto" w:sz="4" w:space="0"/>
            </w:tcBorders>
            <w:vAlign w:val="center"/>
          </w:tcPr>
          <w:p w14:paraId="3B63CEEA">
            <w:pPr>
              <w:widowControl/>
              <w:spacing w:line="240" w:lineRule="exact"/>
              <w:jc w:val="left"/>
              <w:rPr>
                <w:rFonts w:cs="Times New Roman"/>
              </w:rPr>
            </w:pPr>
            <w:r>
              <w:rPr>
                <w:rFonts w:hint="eastAsia" w:ascii="仿宋_GB2312" w:hAnsi="新宋体" w:eastAsia="仿宋_GB2312" w:cs="仿宋_GB2312"/>
                <w:color w:val="000000"/>
                <w:kern w:val="0"/>
              </w:rPr>
              <w:t>基础信息完善性</w:t>
            </w:r>
            <w:r>
              <w:rPr>
                <w:rFonts w:hint="eastAsia" w:ascii="仿宋_GB2312" w:hAnsi="新宋体" w:eastAsia="仿宋_GB2312" w:cs="仿宋_GB2312"/>
                <w:kern w:val="0"/>
              </w:rPr>
              <w:t>（</w:t>
            </w:r>
            <w:r>
              <w:rPr>
                <w:rFonts w:ascii="仿宋_GB2312" w:hAnsi="新宋体" w:eastAsia="仿宋_GB2312" w:cs="仿宋_GB2312"/>
                <w:kern w:val="0"/>
              </w:rPr>
              <w:t>4</w:t>
            </w:r>
            <w:r>
              <w:rPr>
                <w:rFonts w:hint="eastAsia" w:ascii="仿宋_GB2312" w:hAnsi="新宋体" w:eastAsia="仿宋_GB2312" w:cs="仿宋_GB2312"/>
                <w:kern w:val="0"/>
              </w:rPr>
              <w:t>分）</w:t>
            </w:r>
          </w:p>
        </w:tc>
        <w:tc>
          <w:tcPr>
            <w:tcW w:w="3975" w:type="dxa"/>
            <w:tcBorders>
              <w:left w:val="single" w:color="auto" w:sz="4" w:space="0"/>
              <w:right w:val="single" w:color="auto" w:sz="4" w:space="0"/>
            </w:tcBorders>
            <w:vAlign w:val="center"/>
          </w:tcPr>
          <w:p w14:paraId="5AA99D45">
            <w:pPr>
              <w:widowControl/>
              <w:spacing w:line="240" w:lineRule="exact"/>
              <w:jc w:val="left"/>
              <w:rPr>
                <w:rFonts w:cs="Times New Roman"/>
              </w:rPr>
            </w:pPr>
            <w:r>
              <w:rPr>
                <w:rFonts w:hint="eastAsia" w:ascii="仿宋_GB2312" w:hAnsi="新宋体" w:eastAsia="仿宋_GB2312" w:cs="仿宋_GB2312"/>
                <w:kern w:val="0"/>
              </w:rPr>
              <w:t>部门基础信息是否完善，用以反映和评价基础信息对预算管理工作的支撑情况。</w:t>
            </w:r>
          </w:p>
          <w:p w14:paraId="07AB8419">
            <w:pPr>
              <w:widowControl/>
              <w:spacing w:line="240" w:lineRule="exact"/>
              <w:jc w:val="left"/>
              <w:rPr>
                <w:rFonts w:cs="Times New Roman"/>
              </w:rPr>
            </w:pPr>
            <w:r>
              <w:rPr>
                <w:rFonts w:hint="eastAsia" w:ascii="仿宋_GB2312" w:hAnsi="新宋体" w:eastAsia="仿宋_GB2312" w:cs="仿宋_GB2312"/>
                <w:kern w:val="0"/>
              </w:rPr>
              <w:t>评价要点：</w:t>
            </w:r>
          </w:p>
          <w:p w14:paraId="55392C3E">
            <w:pPr>
              <w:widowControl/>
              <w:spacing w:line="240" w:lineRule="exact"/>
              <w:jc w:val="left"/>
              <w:rPr>
                <w:rFonts w:cs="Times New Roman"/>
              </w:rPr>
            </w:pPr>
            <w:r>
              <w:rPr>
                <w:rFonts w:ascii="仿宋_GB2312" w:hAnsi="新宋体" w:eastAsia="仿宋_GB2312" w:cs="仿宋_GB2312"/>
                <w:kern w:val="0"/>
              </w:rPr>
              <w:t>1.</w:t>
            </w:r>
            <w:r>
              <w:rPr>
                <w:rFonts w:hint="eastAsia" w:ascii="仿宋_GB2312" w:hAnsi="新宋体" w:eastAsia="仿宋_GB2312" w:cs="仿宋_GB2312"/>
                <w:kern w:val="0"/>
              </w:rPr>
              <w:t>基本财务管理制度健全；</w:t>
            </w:r>
          </w:p>
          <w:p w14:paraId="1A646883">
            <w:pPr>
              <w:widowControl/>
              <w:spacing w:line="240" w:lineRule="exact"/>
              <w:jc w:val="left"/>
              <w:rPr>
                <w:rFonts w:cs="Times New Roman"/>
              </w:rPr>
            </w:pPr>
            <w:r>
              <w:rPr>
                <w:rFonts w:ascii="仿宋_GB2312" w:hAnsi="新宋体" w:eastAsia="仿宋_GB2312" w:cs="仿宋_GB2312"/>
                <w:kern w:val="0"/>
              </w:rPr>
              <w:t>2.</w:t>
            </w:r>
            <w:r>
              <w:rPr>
                <w:rFonts w:hint="eastAsia" w:ascii="仿宋_GB2312" w:hAnsi="新宋体" w:eastAsia="仿宋_GB2312" w:cs="仿宋_GB2312"/>
                <w:kern w:val="0"/>
              </w:rPr>
              <w:t>基础数据信息和会计信息资料真实；</w:t>
            </w:r>
          </w:p>
          <w:p w14:paraId="5FC550A0">
            <w:pPr>
              <w:widowControl/>
              <w:spacing w:line="240" w:lineRule="exact"/>
              <w:jc w:val="left"/>
              <w:rPr>
                <w:rFonts w:cs="Times New Roman"/>
              </w:rPr>
            </w:pPr>
            <w:r>
              <w:rPr>
                <w:rFonts w:ascii="仿宋_GB2312" w:hAnsi="新宋体" w:eastAsia="仿宋_GB2312" w:cs="仿宋_GB2312"/>
                <w:kern w:val="0"/>
              </w:rPr>
              <w:t>3.</w:t>
            </w:r>
            <w:r>
              <w:rPr>
                <w:rFonts w:hint="eastAsia" w:ascii="仿宋_GB2312" w:hAnsi="新宋体" w:eastAsia="仿宋_GB2312" w:cs="仿宋_GB2312"/>
                <w:kern w:val="0"/>
              </w:rPr>
              <w:t>基础数据信息和会计信息资料完整；</w:t>
            </w:r>
          </w:p>
          <w:p w14:paraId="2CBC96E6">
            <w:pPr>
              <w:widowControl/>
              <w:spacing w:line="240" w:lineRule="exact"/>
              <w:jc w:val="left"/>
              <w:rPr>
                <w:rFonts w:cs="Times New Roman"/>
              </w:rPr>
            </w:pPr>
            <w:r>
              <w:rPr>
                <w:rFonts w:ascii="仿宋_GB2312" w:hAnsi="新宋体" w:eastAsia="仿宋_GB2312" w:cs="仿宋_GB2312"/>
                <w:kern w:val="0"/>
              </w:rPr>
              <w:t>4.</w:t>
            </w:r>
            <w:r>
              <w:rPr>
                <w:rFonts w:hint="eastAsia" w:ascii="仿宋_GB2312" w:hAnsi="新宋体" w:eastAsia="仿宋_GB2312" w:cs="仿宋_GB2312"/>
                <w:kern w:val="0"/>
              </w:rPr>
              <w:t>基础数据信息和会计信息资料准确。</w:t>
            </w:r>
          </w:p>
        </w:tc>
        <w:tc>
          <w:tcPr>
            <w:tcW w:w="2550" w:type="dxa"/>
            <w:tcBorders>
              <w:left w:val="single" w:color="auto" w:sz="4" w:space="0"/>
              <w:right w:val="single" w:color="auto" w:sz="4" w:space="0"/>
            </w:tcBorders>
            <w:vAlign w:val="center"/>
          </w:tcPr>
          <w:p w14:paraId="074E5607">
            <w:pPr>
              <w:widowControl/>
              <w:spacing w:line="240" w:lineRule="exact"/>
              <w:jc w:val="left"/>
              <w:rPr>
                <w:rFonts w:cs="Times New Roman"/>
              </w:rPr>
            </w:pPr>
            <w:r>
              <w:rPr>
                <w:rFonts w:hint="eastAsia" w:ascii="仿宋_GB2312" w:hAnsi="新宋体" w:eastAsia="仿宋_GB2312" w:cs="仿宋_GB2312"/>
                <w:kern w:val="0"/>
              </w:rPr>
              <w:t>符合全部四项（</w:t>
            </w:r>
            <w:r>
              <w:rPr>
                <w:rFonts w:ascii="仿宋_GB2312" w:hAnsi="新宋体" w:eastAsia="仿宋_GB2312" w:cs="仿宋_GB2312"/>
                <w:kern w:val="0"/>
              </w:rPr>
              <w:t>4</w:t>
            </w:r>
            <w:r>
              <w:rPr>
                <w:rFonts w:hint="eastAsia" w:ascii="仿宋_GB2312" w:hAnsi="新宋体" w:eastAsia="仿宋_GB2312" w:cs="仿宋_GB2312"/>
                <w:kern w:val="0"/>
              </w:rPr>
              <w:t>）；</w:t>
            </w:r>
          </w:p>
          <w:p w14:paraId="13E4D290">
            <w:pPr>
              <w:widowControl/>
              <w:spacing w:line="240" w:lineRule="exact"/>
              <w:jc w:val="left"/>
              <w:rPr>
                <w:rFonts w:cs="Times New Roman"/>
              </w:rPr>
            </w:pPr>
            <w:r>
              <w:rPr>
                <w:rFonts w:hint="eastAsia" w:ascii="仿宋_GB2312" w:hAnsi="新宋体" w:eastAsia="仿宋_GB2312" w:cs="仿宋_GB2312"/>
                <w:kern w:val="0"/>
              </w:rPr>
              <w:t>符合其中三项（</w:t>
            </w:r>
            <w:r>
              <w:rPr>
                <w:rFonts w:ascii="仿宋_GB2312" w:hAnsi="新宋体" w:eastAsia="仿宋_GB2312" w:cs="仿宋_GB2312"/>
                <w:kern w:val="0"/>
              </w:rPr>
              <w:t>2</w:t>
            </w:r>
            <w:r>
              <w:rPr>
                <w:rFonts w:hint="eastAsia" w:ascii="仿宋_GB2312" w:hAnsi="新宋体" w:eastAsia="仿宋_GB2312" w:cs="仿宋_GB2312"/>
                <w:kern w:val="0"/>
              </w:rPr>
              <w:t>）；</w:t>
            </w:r>
          </w:p>
          <w:p w14:paraId="64BD681D">
            <w:pPr>
              <w:widowControl/>
              <w:spacing w:line="240" w:lineRule="exact"/>
              <w:jc w:val="left"/>
              <w:rPr>
                <w:rFonts w:cs="Times New Roman"/>
              </w:rPr>
            </w:pPr>
            <w:r>
              <w:rPr>
                <w:rFonts w:hint="eastAsia" w:ascii="仿宋_GB2312" w:hAnsi="新宋体" w:eastAsia="仿宋_GB2312" w:cs="仿宋_GB2312"/>
                <w:kern w:val="0"/>
              </w:rPr>
              <w:t>符合其中两项（</w:t>
            </w:r>
            <w:r>
              <w:rPr>
                <w:rFonts w:ascii="仿宋_GB2312" w:hAnsi="新宋体" w:eastAsia="仿宋_GB2312" w:cs="仿宋_GB2312"/>
                <w:kern w:val="0"/>
              </w:rPr>
              <w:t>1</w:t>
            </w:r>
            <w:r>
              <w:rPr>
                <w:rFonts w:hint="eastAsia" w:ascii="仿宋_GB2312" w:hAnsi="新宋体" w:eastAsia="仿宋_GB2312" w:cs="仿宋_GB2312"/>
                <w:kern w:val="0"/>
              </w:rPr>
              <w:t>）；</w:t>
            </w:r>
          </w:p>
          <w:p w14:paraId="2317475C">
            <w:pPr>
              <w:widowControl/>
              <w:spacing w:line="240" w:lineRule="exact"/>
              <w:jc w:val="left"/>
              <w:rPr>
                <w:rFonts w:cs="Times New Roman"/>
              </w:rPr>
            </w:pPr>
            <w:r>
              <w:rPr>
                <w:rFonts w:hint="eastAsia" w:ascii="仿宋_GB2312" w:hAnsi="新宋体" w:eastAsia="仿宋_GB2312" w:cs="仿宋_GB2312"/>
                <w:kern w:val="0"/>
              </w:rPr>
              <w:t>符合其中一项及以下（</w:t>
            </w:r>
            <w:r>
              <w:rPr>
                <w:rFonts w:ascii="仿宋_GB2312" w:hAnsi="新宋体" w:eastAsia="仿宋_GB2312" w:cs="仿宋_GB2312"/>
                <w:kern w:val="0"/>
              </w:rPr>
              <w:t>0</w:t>
            </w:r>
            <w:r>
              <w:rPr>
                <w:rFonts w:hint="eastAsia" w:ascii="仿宋_GB2312" w:hAnsi="新宋体" w:eastAsia="仿宋_GB2312" w:cs="仿宋_GB2312"/>
                <w:kern w:val="0"/>
              </w:rPr>
              <w:t>）。</w:t>
            </w:r>
          </w:p>
        </w:tc>
        <w:tc>
          <w:tcPr>
            <w:tcW w:w="765" w:type="dxa"/>
            <w:tcBorders>
              <w:left w:val="single" w:color="auto" w:sz="4" w:space="0"/>
            </w:tcBorders>
            <w:vAlign w:val="center"/>
          </w:tcPr>
          <w:p w14:paraId="469F8A3B">
            <w:pPr>
              <w:widowControl/>
              <w:spacing w:line="240" w:lineRule="exact"/>
              <w:jc w:val="center"/>
            </w:pPr>
            <w:r>
              <w:t>4</w:t>
            </w:r>
          </w:p>
        </w:tc>
      </w:tr>
      <w:tr w14:paraId="1B27D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0" w:hRule="atLeast"/>
        </w:trPr>
        <w:tc>
          <w:tcPr>
            <w:tcW w:w="795" w:type="dxa"/>
            <w:vMerge w:val="continue"/>
            <w:vAlign w:val="center"/>
          </w:tcPr>
          <w:p w14:paraId="6AED0E2A">
            <w:pPr>
              <w:spacing w:line="240" w:lineRule="exact"/>
              <w:rPr>
                <w:rFonts w:ascii="宋体" w:cs="Times New Roman"/>
              </w:rPr>
            </w:pPr>
          </w:p>
        </w:tc>
        <w:tc>
          <w:tcPr>
            <w:tcW w:w="765" w:type="dxa"/>
            <w:vMerge w:val="restart"/>
            <w:vAlign w:val="center"/>
          </w:tcPr>
          <w:p w14:paraId="161BF7CC">
            <w:pPr>
              <w:widowControl/>
              <w:spacing w:line="240" w:lineRule="exact"/>
              <w:jc w:val="left"/>
              <w:rPr>
                <w:rFonts w:cs="Times New Roman"/>
              </w:rPr>
            </w:pPr>
            <w:r>
              <w:rPr>
                <w:rFonts w:hint="eastAsia" w:ascii="仿宋_GB2312" w:hAnsi="新宋体" w:eastAsia="仿宋_GB2312" w:cs="仿宋_GB2312"/>
                <w:kern w:val="0"/>
              </w:rPr>
              <w:t>资产管理情况（</w:t>
            </w:r>
            <w:r>
              <w:rPr>
                <w:rFonts w:ascii="仿宋_GB2312" w:hAnsi="新宋体" w:eastAsia="仿宋_GB2312" w:cs="仿宋_GB2312"/>
                <w:kern w:val="0"/>
              </w:rPr>
              <w:t>5</w:t>
            </w:r>
            <w:r>
              <w:rPr>
                <w:rFonts w:hint="eastAsia" w:ascii="仿宋_GB2312" w:hAnsi="新宋体" w:eastAsia="仿宋_GB2312" w:cs="仿宋_GB2312"/>
                <w:kern w:val="0"/>
              </w:rPr>
              <w:t>分）</w:t>
            </w:r>
          </w:p>
        </w:tc>
        <w:tc>
          <w:tcPr>
            <w:tcW w:w="990" w:type="dxa"/>
            <w:tcBorders>
              <w:top w:val="single" w:color="auto" w:sz="4" w:space="0"/>
              <w:right w:val="single" w:color="auto" w:sz="4" w:space="0"/>
            </w:tcBorders>
            <w:vAlign w:val="center"/>
          </w:tcPr>
          <w:p w14:paraId="28BE5EB2">
            <w:pPr>
              <w:widowControl/>
              <w:spacing w:line="240" w:lineRule="exact"/>
              <w:jc w:val="left"/>
              <w:rPr>
                <w:rFonts w:cs="Times New Roman"/>
              </w:rPr>
            </w:pPr>
            <w:r>
              <w:rPr>
                <w:rFonts w:hint="eastAsia" w:ascii="仿宋_GB2312" w:hAnsi="新宋体" w:eastAsia="仿宋_GB2312" w:cs="仿宋_GB2312"/>
                <w:kern w:val="0"/>
              </w:rPr>
              <w:t>资产管理完整性（</w:t>
            </w:r>
            <w:r>
              <w:rPr>
                <w:rFonts w:ascii="仿宋_GB2312" w:hAnsi="新宋体" w:eastAsia="仿宋_GB2312" w:cs="仿宋_GB2312"/>
                <w:kern w:val="0"/>
              </w:rPr>
              <w:t>2</w:t>
            </w:r>
            <w:r>
              <w:rPr>
                <w:rFonts w:hint="eastAsia" w:ascii="仿宋_GB2312" w:hAnsi="新宋体" w:eastAsia="仿宋_GB2312" w:cs="仿宋_GB2312"/>
                <w:kern w:val="0"/>
              </w:rPr>
              <w:t>分）</w:t>
            </w:r>
          </w:p>
        </w:tc>
        <w:tc>
          <w:tcPr>
            <w:tcW w:w="3975" w:type="dxa"/>
            <w:tcBorders>
              <w:top w:val="single" w:color="auto" w:sz="4" w:space="0"/>
              <w:left w:val="single" w:color="auto" w:sz="4" w:space="0"/>
              <w:right w:val="single" w:color="auto" w:sz="4" w:space="0"/>
            </w:tcBorders>
            <w:vAlign w:val="center"/>
          </w:tcPr>
          <w:p w14:paraId="7EAC5FF0">
            <w:pPr>
              <w:widowControl/>
              <w:spacing w:line="240" w:lineRule="exact"/>
              <w:jc w:val="left"/>
              <w:rPr>
                <w:rFonts w:cs="Times New Roman"/>
              </w:rPr>
            </w:pPr>
            <w:r>
              <w:rPr>
                <w:rFonts w:hint="eastAsia" w:ascii="仿宋_GB2312" w:hAnsi="新宋体" w:eastAsia="仿宋_GB2312" w:cs="仿宋_GB2312"/>
                <w:kern w:val="0"/>
              </w:rPr>
              <w:t>部门的资产是否保存完整、使用合规、收入及时足额上缴，用以反映和评价部门资产运行情况。</w:t>
            </w:r>
          </w:p>
          <w:p w14:paraId="6D5881FC">
            <w:pPr>
              <w:widowControl/>
              <w:spacing w:line="240" w:lineRule="exact"/>
              <w:jc w:val="left"/>
              <w:rPr>
                <w:rFonts w:cs="Times New Roman"/>
              </w:rPr>
            </w:pPr>
            <w:r>
              <w:rPr>
                <w:rFonts w:hint="eastAsia" w:ascii="仿宋_GB2312" w:hAnsi="新宋体" w:eastAsia="仿宋_GB2312" w:cs="仿宋_GB2312"/>
                <w:kern w:val="0"/>
              </w:rPr>
              <w:t>评价要点：</w:t>
            </w:r>
          </w:p>
          <w:p w14:paraId="72F7C8D4">
            <w:pPr>
              <w:widowControl/>
              <w:spacing w:line="240" w:lineRule="exact"/>
              <w:jc w:val="left"/>
              <w:rPr>
                <w:rFonts w:cs="Times New Roman"/>
              </w:rPr>
            </w:pPr>
            <w:r>
              <w:rPr>
                <w:rFonts w:ascii="仿宋_GB2312" w:hAnsi="新宋体" w:eastAsia="仿宋_GB2312" w:cs="仿宋_GB2312"/>
                <w:kern w:val="0"/>
              </w:rPr>
              <w:t>1.</w:t>
            </w:r>
            <w:r>
              <w:rPr>
                <w:rFonts w:hint="eastAsia" w:ascii="仿宋_GB2312" w:hAnsi="新宋体" w:eastAsia="仿宋_GB2312" w:cs="仿宋_GB2312"/>
                <w:kern w:val="0"/>
              </w:rPr>
              <w:t>资产保存完整；</w:t>
            </w:r>
          </w:p>
          <w:p w14:paraId="106A2F60">
            <w:pPr>
              <w:widowControl/>
              <w:spacing w:line="240" w:lineRule="exact"/>
              <w:jc w:val="left"/>
              <w:rPr>
                <w:rFonts w:cs="Times New Roman"/>
              </w:rPr>
            </w:pPr>
            <w:r>
              <w:rPr>
                <w:rFonts w:ascii="仿宋_GB2312" w:hAnsi="新宋体" w:eastAsia="仿宋_GB2312" w:cs="仿宋_GB2312"/>
                <w:kern w:val="0"/>
              </w:rPr>
              <w:t>2.</w:t>
            </w:r>
            <w:r>
              <w:rPr>
                <w:rFonts w:hint="eastAsia" w:ascii="仿宋_GB2312" w:hAnsi="新宋体" w:eastAsia="仿宋_GB2312" w:cs="仿宋_GB2312"/>
                <w:kern w:val="0"/>
              </w:rPr>
              <w:t>资产账务管理是否合规，</w:t>
            </w:r>
            <w:bookmarkStart w:id="0" w:name="_GoBack"/>
            <w:bookmarkEnd w:id="0"/>
            <w:r>
              <w:rPr>
                <w:rFonts w:hint="eastAsia" w:ascii="仿宋_GB2312" w:hAnsi="新宋体" w:eastAsia="仿宋_GB2312" w:cs="仿宋_GB2312"/>
                <w:kern w:val="0"/>
                <w:lang w:eastAsia="zh-CN"/>
              </w:rPr>
              <w:t>账实</w:t>
            </w:r>
            <w:r>
              <w:rPr>
                <w:rFonts w:hint="eastAsia" w:ascii="仿宋_GB2312" w:hAnsi="新宋体" w:eastAsia="仿宋_GB2312" w:cs="仿宋_GB2312"/>
                <w:kern w:val="0"/>
              </w:rPr>
              <w:t>相符；</w:t>
            </w:r>
          </w:p>
          <w:p w14:paraId="36BAF522">
            <w:pPr>
              <w:widowControl/>
              <w:spacing w:line="240" w:lineRule="exact"/>
              <w:jc w:val="left"/>
              <w:rPr>
                <w:rFonts w:cs="Times New Roman"/>
              </w:rPr>
            </w:pPr>
            <w:r>
              <w:rPr>
                <w:rFonts w:ascii="仿宋_GB2312" w:hAnsi="新宋体" w:eastAsia="仿宋_GB2312" w:cs="仿宋_GB2312"/>
                <w:kern w:val="0"/>
              </w:rPr>
              <w:t>3.</w:t>
            </w:r>
            <w:r>
              <w:rPr>
                <w:rFonts w:hint="eastAsia" w:ascii="仿宋_GB2312" w:hAnsi="新宋体" w:eastAsia="仿宋_GB2312" w:cs="仿宋_GB2312"/>
                <w:kern w:val="0"/>
              </w:rPr>
              <w:t>资产有偿使用及处置收入及时足额上缴。</w:t>
            </w:r>
          </w:p>
        </w:tc>
        <w:tc>
          <w:tcPr>
            <w:tcW w:w="2550" w:type="dxa"/>
            <w:tcBorders>
              <w:top w:val="single" w:color="auto" w:sz="4" w:space="0"/>
              <w:left w:val="single" w:color="auto" w:sz="4" w:space="0"/>
              <w:right w:val="single" w:color="auto" w:sz="4" w:space="0"/>
            </w:tcBorders>
            <w:vAlign w:val="center"/>
          </w:tcPr>
          <w:p w14:paraId="03A70225">
            <w:pPr>
              <w:widowControl/>
              <w:spacing w:line="240" w:lineRule="exact"/>
              <w:jc w:val="left"/>
              <w:rPr>
                <w:rFonts w:cs="Times New Roman"/>
              </w:rPr>
            </w:pPr>
            <w:r>
              <w:rPr>
                <w:rFonts w:hint="eastAsia" w:ascii="仿宋_GB2312" w:hAnsi="新宋体" w:eastAsia="仿宋_GB2312" w:cs="仿宋_GB2312"/>
                <w:kern w:val="0"/>
              </w:rPr>
              <w:t>符合全部三项（</w:t>
            </w:r>
            <w:r>
              <w:rPr>
                <w:rFonts w:ascii="仿宋_GB2312" w:hAnsi="新宋体" w:eastAsia="仿宋_GB2312" w:cs="仿宋_GB2312"/>
                <w:kern w:val="0"/>
              </w:rPr>
              <w:t>3</w:t>
            </w:r>
            <w:r>
              <w:rPr>
                <w:rFonts w:hint="eastAsia" w:ascii="仿宋_GB2312" w:hAnsi="新宋体" w:eastAsia="仿宋_GB2312" w:cs="仿宋_GB2312"/>
                <w:kern w:val="0"/>
              </w:rPr>
              <w:t>）；</w:t>
            </w:r>
          </w:p>
          <w:p w14:paraId="1D0E1DBE">
            <w:pPr>
              <w:widowControl/>
              <w:spacing w:line="240" w:lineRule="exact"/>
              <w:jc w:val="left"/>
              <w:rPr>
                <w:rFonts w:cs="Times New Roman"/>
              </w:rPr>
            </w:pPr>
            <w:r>
              <w:rPr>
                <w:rFonts w:hint="eastAsia" w:ascii="仿宋_GB2312" w:hAnsi="新宋体" w:eastAsia="仿宋_GB2312" w:cs="仿宋_GB2312"/>
                <w:kern w:val="0"/>
              </w:rPr>
              <w:t>符合其中两项（</w:t>
            </w:r>
            <w:r>
              <w:rPr>
                <w:rFonts w:ascii="仿宋_GB2312" w:hAnsi="新宋体" w:eastAsia="仿宋_GB2312" w:cs="仿宋_GB2312"/>
                <w:kern w:val="0"/>
              </w:rPr>
              <w:t>2</w:t>
            </w:r>
            <w:r>
              <w:rPr>
                <w:rFonts w:hint="eastAsia" w:ascii="仿宋_GB2312" w:hAnsi="新宋体" w:eastAsia="仿宋_GB2312" w:cs="仿宋_GB2312"/>
                <w:kern w:val="0"/>
              </w:rPr>
              <w:t>）；</w:t>
            </w:r>
          </w:p>
          <w:p w14:paraId="4C49DB45">
            <w:pPr>
              <w:widowControl/>
              <w:spacing w:line="240" w:lineRule="exact"/>
              <w:jc w:val="left"/>
              <w:rPr>
                <w:rFonts w:cs="Times New Roman"/>
              </w:rPr>
            </w:pPr>
            <w:r>
              <w:rPr>
                <w:rFonts w:hint="eastAsia" w:ascii="仿宋_GB2312" w:hAnsi="新宋体" w:eastAsia="仿宋_GB2312" w:cs="仿宋_GB2312"/>
                <w:kern w:val="0"/>
              </w:rPr>
              <w:t>符合其中一项（</w:t>
            </w:r>
            <w:r>
              <w:rPr>
                <w:rFonts w:ascii="仿宋_GB2312" w:hAnsi="新宋体" w:eastAsia="仿宋_GB2312" w:cs="仿宋_GB2312"/>
                <w:kern w:val="0"/>
              </w:rPr>
              <w:t>1</w:t>
            </w:r>
            <w:r>
              <w:rPr>
                <w:rFonts w:hint="eastAsia" w:ascii="仿宋_GB2312" w:hAnsi="新宋体" w:eastAsia="仿宋_GB2312" w:cs="仿宋_GB2312"/>
                <w:kern w:val="0"/>
              </w:rPr>
              <w:t>）；</w:t>
            </w:r>
          </w:p>
          <w:p w14:paraId="4E97FAEB">
            <w:pPr>
              <w:widowControl/>
              <w:spacing w:line="240" w:lineRule="exact"/>
              <w:jc w:val="left"/>
              <w:rPr>
                <w:rFonts w:cs="Times New Roman"/>
              </w:rPr>
            </w:pPr>
            <w:r>
              <w:rPr>
                <w:rFonts w:hint="eastAsia" w:ascii="仿宋_GB2312" w:hAnsi="新宋体" w:eastAsia="仿宋_GB2312" w:cs="仿宋_GB2312"/>
                <w:kern w:val="0"/>
              </w:rPr>
              <w:t>符合零项（</w:t>
            </w:r>
            <w:r>
              <w:rPr>
                <w:rFonts w:ascii="仿宋_GB2312" w:hAnsi="新宋体" w:eastAsia="仿宋_GB2312" w:cs="仿宋_GB2312"/>
                <w:kern w:val="0"/>
              </w:rPr>
              <w:t>0</w:t>
            </w:r>
            <w:r>
              <w:rPr>
                <w:rFonts w:hint="eastAsia" w:ascii="仿宋_GB2312" w:hAnsi="新宋体" w:eastAsia="仿宋_GB2312" w:cs="仿宋_GB2312"/>
                <w:kern w:val="0"/>
              </w:rPr>
              <w:t>）。</w:t>
            </w:r>
          </w:p>
        </w:tc>
        <w:tc>
          <w:tcPr>
            <w:tcW w:w="765" w:type="dxa"/>
            <w:tcBorders>
              <w:top w:val="single" w:color="auto" w:sz="4" w:space="0"/>
              <w:left w:val="single" w:color="auto" w:sz="4" w:space="0"/>
            </w:tcBorders>
            <w:vAlign w:val="center"/>
          </w:tcPr>
          <w:p w14:paraId="311C7F45">
            <w:pPr>
              <w:widowControl/>
              <w:spacing w:line="240" w:lineRule="exact"/>
              <w:jc w:val="center"/>
            </w:pPr>
            <w:r>
              <w:t>1</w:t>
            </w:r>
          </w:p>
        </w:tc>
      </w:tr>
      <w:tr w14:paraId="1EE3F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5" w:hRule="atLeast"/>
        </w:trPr>
        <w:tc>
          <w:tcPr>
            <w:tcW w:w="795" w:type="dxa"/>
            <w:vMerge w:val="continue"/>
            <w:vAlign w:val="center"/>
          </w:tcPr>
          <w:p w14:paraId="327B0BF1">
            <w:pPr>
              <w:spacing w:line="240" w:lineRule="exact"/>
              <w:rPr>
                <w:rFonts w:ascii="宋体" w:cs="Times New Roman"/>
              </w:rPr>
            </w:pPr>
          </w:p>
        </w:tc>
        <w:tc>
          <w:tcPr>
            <w:tcW w:w="765" w:type="dxa"/>
            <w:vMerge w:val="continue"/>
            <w:vAlign w:val="center"/>
          </w:tcPr>
          <w:p w14:paraId="54E4EFBF">
            <w:pPr>
              <w:spacing w:line="240" w:lineRule="exact"/>
              <w:rPr>
                <w:rFonts w:ascii="宋体" w:cs="Times New Roman"/>
              </w:rPr>
            </w:pPr>
          </w:p>
        </w:tc>
        <w:tc>
          <w:tcPr>
            <w:tcW w:w="990" w:type="dxa"/>
            <w:tcBorders>
              <w:top w:val="single" w:color="auto" w:sz="4" w:space="0"/>
              <w:right w:val="single" w:color="auto" w:sz="4" w:space="0"/>
            </w:tcBorders>
            <w:vAlign w:val="center"/>
          </w:tcPr>
          <w:p w14:paraId="2BB19C63">
            <w:pPr>
              <w:widowControl/>
              <w:spacing w:line="240" w:lineRule="exact"/>
              <w:jc w:val="left"/>
              <w:rPr>
                <w:rFonts w:cs="Times New Roman"/>
              </w:rPr>
            </w:pPr>
            <w:r>
              <w:rPr>
                <w:rFonts w:hint="eastAsia" w:ascii="仿宋_GB2312" w:hAnsi="新宋体" w:eastAsia="仿宋_GB2312" w:cs="仿宋_GB2312"/>
                <w:kern w:val="0"/>
              </w:rPr>
              <w:t>固定资产利用率（</w:t>
            </w:r>
            <w:r>
              <w:rPr>
                <w:rFonts w:ascii="仿宋_GB2312" w:hAnsi="新宋体" w:eastAsia="仿宋_GB2312" w:cs="仿宋_GB2312"/>
                <w:kern w:val="0"/>
              </w:rPr>
              <w:t>3</w:t>
            </w:r>
            <w:r>
              <w:rPr>
                <w:rFonts w:hint="eastAsia" w:ascii="仿宋_GB2312" w:hAnsi="新宋体" w:eastAsia="仿宋_GB2312" w:cs="仿宋_GB2312"/>
                <w:kern w:val="0"/>
              </w:rPr>
              <w:t>分）</w:t>
            </w:r>
          </w:p>
        </w:tc>
        <w:tc>
          <w:tcPr>
            <w:tcW w:w="3975" w:type="dxa"/>
            <w:tcBorders>
              <w:top w:val="single" w:color="auto" w:sz="4" w:space="0"/>
              <w:left w:val="single" w:color="auto" w:sz="4" w:space="0"/>
              <w:right w:val="single" w:color="auto" w:sz="4" w:space="0"/>
            </w:tcBorders>
            <w:vAlign w:val="center"/>
          </w:tcPr>
          <w:p w14:paraId="3FDDCE0A">
            <w:pPr>
              <w:widowControl/>
              <w:spacing w:line="240" w:lineRule="exact"/>
              <w:jc w:val="left"/>
              <w:rPr>
                <w:rFonts w:cs="Times New Roman"/>
              </w:rPr>
            </w:pPr>
            <w:r>
              <w:rPr>
                <w:rFonts w:hint="eastAsia" w:ascii="仿宋_GB2312" w:hAnsi="新宋体" w:eastAsia="仿宋_GB2312" w:cs="仿宋_GB2312"/>
                <w:kern w:val="0"/>
              </w:rPr>
              <w:t>部门实际在用固定资产总额与所有固定资产总额的比率，用以反映和评价部门固定资产使用效率。</w:t>
            </w:r>
          </w:p>
          <w:p w14:paraId="6A1B5D80">
            <w:pPr>
              <w:widowControl/>
              <w:spacing w:line="240" w:lineRule="exact"/>
              <w:jc w:val="left"/>
              <w:rPr>
                <w:rFonts w:cs="Times New Roman"/>
              </w:rPr>
            </w:pPr>
            <w:r>
              <w:rPr>
                <w:rFonts w:hint="eastAsia" w:ascii="仿宋_GB2312" w:hAnsi="新宋体" w:eastAsia="仿宋_GB2312" w:cs="仿宋_GB2312"/>
                <w:kern w:val="0"/>
              </w:rPr>
              <w:t>固定资产利用率</w:t>
            </w:r>
            <w:r>
              <w:rPr>
                <w:rFonts w:ascii="仿宋_GB2312" w:hAnsi="新宋体" w:eastAsia="仿宋_GB2312" w:cs="仿宋_GB2312"/>
                <w:kern w:val="0"/>
              </w:rPr>
              <w:t>=</w:t>
            </w:r>
            <w:r>
              <w:rPr>
                <w:rFonts w:hint="eastAsia" w:ascii="仿宋_GB2312" w:hAnsi="新宋体" w:eastAsia="仿宋_GB2312" w:cs="仿宋_GB2312"/>
                <w:kern w:val="0"/>
              </w:rPr>
              <w:t>（实际在用固定资产总额</w:t>
            </w:r>
            <w:r>
              <w:rPr>
                <w:rFonts w:ascii="仿宋_GB2312" w:hAnsi="新宋体" w:eastAsia="仿宋_GB2312" w:cs="仿宋_GB2312"/>
                <w:kern w:val="0"/>
              </w:rPr>
              <w:t>/</w:t>
            </w:r>
            <w:r>
              <w:rPr>
                <w:rFonts w:hint="eastAsia" w:ascii="仿宋_GB2312" w:hAnsi="新宋体" w:eastAsia="仿宋_GB2312" w:cs="仿宋_GB2312"/>
                <w:kern w:val="0"/>
              </w:rPr>
              <w:t>所有固定资产总额）×</w:t>
            </w:r>
            <w:r>
              <w:rPr>
                <w:rFonts w:ascii="仿宋_GB2312" w:hAnsi="新宋体" w:eastAsia="仿宋_GB2312" w:cs="仿宋_GB2312"/>
                <w:kern w:val="0"/>
              </w:rPr>
              <w:t>100%</w:t>
            </w:r>
            <w:r>
              <w:rPr>
                <w:rFonts w:hint="eastAsia" w:ascii="仿宋_GB2312" w:hAnsi="新宋体" w:eastAsia="仿宋_GB2312" w:cs="仿宋_GB2312"/>
                <w:kern w:val="0"/>
              </w:rPr>
              <w:t>。</w:t>
            </w:r>
          </w:p>
        </w:tc>
        <w:tc>
          <w:tcPr>
            <w:tcW w:w="2550" w:type="dxa"/>
            <w:tcBorders>
              <w:top w:val="single" w:color="auto" w:sz="4" w:space="0"/>
              <w:left w:val="single" w:color="auto" w:sz="4" w:space="0"/>
              <w:right w:val="single" w:color="auto" w:sz="4" w:space="0"/>
            </w:tcBorders>
            <w:vAlign w:val="center"/>
          </w:tcPr>
          <w:p w14:paraId="4BA62EAB">
            <w:pPr>
              <w:widowControl/>
              <w:spacing w:line="240" w:lineRule="exact"/>
              <w:jc w:val="left"/>
              <w:rPr>
                <w:rFonts w:cs="Times New Roman"/>
              </w:rPr>
            </w:pPr>
            <w:r>
              <w:rPr>
                <w:rFonts w:ascii="仿宋_GB2312" w:hAnsi="新宋体" w:eastAsia="仿宋_GB2312" w:cs="仿宋_GB2312"/>
                <w:kern w:val="0"/>
              </w:rPr>
              <w:t>1.</w:t>
            </w:r>
            <w:r>
              <w:rPr>
                <w:rFonts w:hint="eastAsia" w:ascii="仿宋_GB2312" w:hAnsi="新宋体" w:eastAsia="仿宋_GB2312" w:cs="仿宋_GB2312"/>
                <w:kern w:val="0"/>
              </w:rPr>
              <w:t>固定资产利用率大于或等于</w:t>
            </w:r>
            <w:r>
              <w:rPr>
                <w:rFonts w:ascii="仿宋_GB2312" w:hAnsi="新宋体" w:eastAsia="仿宋_GB2312" w:cs="仿宋_GB2312"/>
                <w:kern w:val="0"/>
              </w:rPr>
              <w:t>95%</w:t>
            </w:r>
            <w:r>
              <w:rPr>
                <w:rFonts w:hint="eastAsia" w:ascii="仿宋_GB2312" w:hAnsi="新宋体" w:eastAsia="仿宋_GB2312" w:cs="仿宋_GB2312"/>
                <w:kern w:val="0"/>
              </w:rPr>
              <w:t>的，得满分；</w:t>
            </w:r>
          </w:p>
          <w:p w14:paraId="692BA43A">
            <w:pPr>
              <w:widowControl/>
              <w:spacing w:line="240" w:lineRule="exact"/>
              <w:jc w:val="left"/>
              <w:rPr>
                <w:rFonts w:cs="Times New Roman"/>
              </w:rPr>
            </w:pPr>
            <w:r>
              <w:rPr>
                <w:rFonts w:ascii="仿宋_GB2312" w:hAnsi="新宋体" w:eastAsia="仿宋_GB2312" w:cs="仿宋_GB2312"/>
                <w:kern w:val="0"/>
              </w:rPr>
              <w:t>2.</w:t>
            </w:r>
            <w:r>
              <w:rPr>
                <w:rFonts w:hint="eastAsia" w:ascii="仿宋_GB2312" w:hAnsi="新宋体" w:eastAsia="仿宋_GB2312" w:cs="仿宋_GB2312"/>
                <w:kern w:val="0"/>
              </w:rPr>
              <w:t>固定资产利用率小于或等于</w:t>
            </w:r>
            <w:r>
              <w:rPr>
                <w:rFonts w:ascii="仿宋_GB2312" w:hAnsi="新宋体" w:eastAsia="仿宋_GB2312" w:cs="仿宋_GB2312"/>
                <w:kern w:val="0"/>
              </w:rPr>
              <w:t>85%</w:t>
            </w:r>
            <w:r>
              <w:rPr>
                <w:rFonts w:hint="eastAsia" w:ascii="仿宋_GB2312" w:hAnsi="新宋体" w:eastAsia="仿宋_GB2312" w:cs="仿宋_GB2312"/>
                <w:kern w:val="0"/>
              </w:rPr>
              <w:t>的，得</w:t>
            </w:r>
            <w:r>
              <w:rPr>
                <w:rFonts w:ascii="仿宋_GB2312" w:hAnsi="新宋体" w:eastAsia="仿宋_GB2312" w:cs="仿宋_GB2312"/>
                <w:kern w:val="0"/>
              </w:rPr>
              <w:t>0</w:t>
            </w:r>
            <w:r>
              <w:rPr>
                <w:rFonts w:hint="eastAsia" w:ascii="仿宋_GB2312" w:hAnsi="新宋体" w:eastAsia="仿宋_GB2312" w:cs="仿宋_GB2312"/>
                <w:kern w:val="0"/>
              </w:rPr>
              <w:t>分；</w:t>
            </w:r>
          </w:p>
          <w:p w14:paraId="1D5B77BD">
            <w:pPr>
              <w:widowControl/>
              <w:spacing w:line="240" w:lineRule="exact"/>
              <w:jc w:val="left"/>
              <w:rPr>
                <w:rFonts w:cs="Times New Roman"/>
              </w:rPr>
            </w:pPr>
            <w:r>
              <w:rPr>
                <w:rFonts w:ascii="仿宋_GB2312" w:hAnsi="新宋体" w:eastAsia="仿宋_GB2312" w:cs="仿宋_GB2312"/>
                <w:kern w:val="0"/>
              </w:rPr>
              <w:t>3.</w:t>
            </w:r>
            <w:r>
              <w:rPr>
                <w:rFonts w:hint="eastAsia" w:ascii="仿宋_GB2312" w:hAnsi="新宋体" w:eastAsia="仿宋_GB2312" w:cs="仿宋_GB2312"/>
                <w:kern w:val="0"/>
              </w:rPr>
              <w:t>固定资产利用率在</w:t>
            </w:r>
            <w:r>
              <w:rPr>
                <w:rFonts w:ascii="仿宋_GB2312" w:hAnsi="新宋体" w:eastAsia="仿宋_GB2312" w:cs="仿宋_GB2312"/>
                <w:kern w:val="0"/>
              </w:rPr>
              <w:t>85%-95%</w:t>
            </w:r>
            <w:r>
              <w:rPr>
                <w:rFonts w:hint="eastAsia" w:ascii="仿宋_GB2312" w:hAnsi="新宋体" w:eastAsia="仿宋_GB2312" w:cs="仿宋_GB2312"/>
                <w:kern w:val="0"/>
              </w:rPr>
              <w:t>之间的，在</w:t>
            </w:r>
            <w:r>
              <w:rPr>
                <w:rFonts w:ascii="仿宋_GB2312" w:hAnsi="新宋体" w:eastAsia="仿宋_GB2312" w:cs="仿宋_GB2312"/>
                <w:kern w:val="0"/>
              </w:rPr>
              <w:t>0</w:t>
            </w:r>
            <w:r>
              <w:rPr>
                <w:rFonts w:hint="eastAsia" w:ascii="仿宋_GB2312" w:hAnsi="新宋体" w:eastAsia="仿宋_GB2312" w:cs="仿宋_GB2312"/>
                <w:kern w:val="0"/>
              </w:rPr>
              <w:t>和满分之间计算确定：</w:t>
            </w:r>
          </w:p>
          <w:p w14:paraId="0259247C">
            <w:pPr>
              <w:widowControl/>
              <w:spacing w:line="240" w:lineRule="exact"/>
              <w:jc w:val="left"/>
              <w:rPr>
                <w:rFonts w:cs="Times New Roman"/>
              </w:rPr>
            </w:pPr>
            <w:r>
              <w:rPr>
                <w:rFonts w:hint="eastAsia" w:ascii="仿宋_GB2312" w:hAnsi="新宋体" w:eastAsia="仿宋_GB2312" w:cs="仿宋_GB2312"/>
                <w:kern w:val="0"/>
              </w:rPr>
              <w:t>得分</w:t>
            </w:r>
            <w:r>
              <w:rPr>
                <w:rFonts w:ascii="仿宋_GB2312" w:hAnsi="新宋体" w:eastAsia="仿宋_GB2312" w:cs="仿宋_GB2312"/>
                <w:kern w:val="0"/>
              </w:rPr>
              <w:t>=</w:t>
            </w:r>
            <w:r>
              <w:rPr>
                <w:rFonts w:hint="eastAsia" w:ascii="仿宋_GB2312" w:hAnsi="新宋体" w:eastAsia="仿宋_GB2312" w:cs="仿宋_GB2312"/>
                <w:kern w:val="0"/>
              </w:rPr>
              <w:t>［某部门固定资产利用率</w:t>
            </w:r>
            <w:r>
              <w:rPr>
                <w:rFonts w:ascii="仿宋_GB2312" w:hAnsi="新宋体" w:eastAsia="仿宋_GB2312" w:cs="仿宋_GB2312"/>
                <w:kern w:val="0"/>
              </w:rPr>
              <w:t>-min</w:t>
            </w:r>
            <w:r>
              <w:rPr>
                <w:rFonts w:hint="eastAsia" w:ascii="仿宋_GB2312" w:hAnsi="新宋体" w:eastAsia="仿宋_GB2312" w:cs="仿宋_GB2312"/>
                <w:kern w:val="0"/>
              </w:rPr>
              <w:t>（固定资产利用率）］</w:t>
            </w:r>
            <w:r>
              <w:rPr>
                <w:rFonts w:ascii="仿宋_GB2312" w:hAnsi="新宋体" w:eastAsia="仿宋_GB2312" w:cs="仿宋_GB2312"/>
                <w:kern w:val="0"/>
              </w:rPr>
              <w:t>/</w:t>
            </w:r>
            <w:r>
              <w:rPr>
                <w:rFonts w:hint="eastAsia" w:ascii="仿宋_GB2312" w:hAnsi="新宋体" w:eastAsia="仿宋_GB2312" w:cs="仿宋_GB2312"/>
                <w:kern w:val="0"/>
              </w:rPr>
              <w:t>［</w:t>
            </w:r>
            <w:r>
              <w:rPr>
                <w:rFonts w:ascii="仿宋_GB2312" w:hAnsi="新宋体" w:eastAsia="仿宋_GB2312" w:cs="仿宋_GB2312"/>
                <w:kern w:val="0"/>
              </w:rPr>
              <w:t>max</w:t>
            </w:r>
            <w:r>
              <w:rPr>
                <w:rFonts w:hint="eastAsia" w:ascii="仿宋_GB2312" w:hAnsi="新宋体" w:eastAsia="仿宋_GB2312" w:cs="仿宋_GB2312"/>
                <w:kern w:val="0"/>
              </w:rPr>
              <w:t>（固定资产利用率）</w:t>
            </w:r>
            <w:r>
              <w:rPr>
                <w:rFonts w:ascii="仿宋_GB2312" w:hAnsi="新宋体" w:eastAsia="仿宋_GB2312" w:cs="仿宋_GB2312"/>
                <w:kern w:val="0"/>
              </w:rPr>
              <w:t>-min</w:t>
            </w:r>
            <w:r>
              <w:rPr>
                <w:rFonts w:hint="eastAsia" w:ascii="仿宋_GB2312" w:hAnsi="新宋体" w:eastAsia="仿宋_GB2312" w:cs="仿宋_GB2312"/>
                <w:kern w:val="0"/>
              </w:rPr>
              <w:t>（固定资产利用率）］×该指标分值。</w:t>
            </w:r>
          </w:p>
        </w:tc>
        <w:tc>
          <w:tcPr>
            <w:tcW w:w="765" w:type="dxa"/>
            <w:tcBorders>
              <w:top w:val="single" w:color="auto" w:sz="4" w:space="0"/>
              <w:left w:val="single" w:color="auto" w:sz="4" w:space="0"/>
            </w:tcBorders>
            <w:vAlign w:val="center"/>
          </w:tcPr>
          <w:p w14:paraId="79E7667F">
            <w:pPr>
              <w:widowControl/>
              <w:spacing w:line="240" w:lineRule="exact"/>
              <w:jc w:val="center"/>
            </w:pPr>
            <w:r>
              <w:t>3</w:t>
            </w:r>
          </w:p>
        </w:tc>
      </w:tr>
      <w:tr w14:paraId="65299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0" w:hRule="atLeast"/>
        </w:trPr>
        <w:tc>
          <w:tcPr>
            <w:tcW w:w="795" w:type="dxa"/>
            <w:vMerge w:val="restart"/>
            <w:vAlign w:val="center"/>
          </w:tcPr>
          <w:p w14:paraId="2E73667E">
            <w:pPr>
              <w:widowControl/>
              <w:spacing w:line="240" w:lineRule="exact"/>
              <w:jc w:val="left"/>
              <w:rPr>
                <w:rFonts w:cs="Times New Roman"/>
              </w:rPr>
            </w:pPr>
            <w:r>
              <w:rPr>
                <w:rFonts w:hint="eastAsia" w:ascii="仿宋_GB2312" w:hAnsi="新宋体" w:eastAsia="仿宋_GB2312" w:cs="仿宋_GB2312"/>
                <w:kern w:val="0"/>
              </w:rPr>
              <w:t>产出</w:t>
            </w:r>
            <w:r>
              <w:rPr>
                <w:rFonts w:ascii="仿宋_GB2312" w:hAnsi="新宋体" w:eastAsia="仿宋_GB2312" w:cs="仿宋_GB2312"/>
                <w:kern w:val="0"/>
              </w:rPr>
              <w:t>(25</w:t>
            </w:r>
            <w:r>
              <w:rPr>
                <w:rFonts w:hint="eastAsia" w:ascii="仿宋_GB2312" w:hAnsi="新宋体" w:eastAsia="仿宋_GB2312" w:cs="仿宋_GB2312"/>
                <w:kern w:val="0"/>
              </w:rPr>
              <w:t>分</w:t>
            </w:r>
            <w:r>
              <w:rPr>
                <w:rFonts w:ascii="仿宋_GB2312" w:hAnsi="新宋体" w:eastAsia="仿宋_GB2312" w:cs="仿宋_GB2312"/>
                <w:kern w:val="0"/>
              </w:rPr>
              <w:t>)</w:t>
            </w:r>
          </w:p>
        </w:tc>
        <w:tc>
          <w:tcPr>
            <w:tcW w:w="765" w:type="dxa"/>
            <w:vMerge w:val="restart"/>
            <w:vAlign w:val="center"/>
          </w:tcPr>
          <w:p w14:paraId="0785ED69">
            <w:pPr>
              <w:widowControl/>
              <w:spacing w:line="240" w:lineRule="exact"/>
              <w:jc w:val="left"/>
              <w:rPr>
                <w:rFonts w:cs="Times New Roman"/>
              </w:rPr>
            </w:pPr>
            <w:r>
              <w:rPr>
                <w:rFonts w:hint="eastAsia" w:ascii="仿宋_GB2312" w:hAnsi="新宋体" w:eastAsia="仿宋_GB2312" w:cs="仿宋_GB2312"/>
                <w:kern w:val="0"/>
              </w:rPr>
              <w:t>职责履行情况（</w:t>
            </w:r>
            <w:r>
              <w:rPr>
                <w:rFonts w:ascii="仿宋_GB2312" w:hAnsi="新宋体" w:eastAsia="仿宋_GB2312" w:cs="仿宋_GB2312"/>
                <w:kern w:val="0"/>
              </w:rPr>
              <w:t>25</w:t>
            </w:r>
            <w:r>
              <w:rPr>
                <w:rFonts w:hint="eastAsia" w:ascii="仿宋_GB2312" w:hAnsi="新宋体" w:eastAsia="仿宋_GB2312" w:cs="仿宋_GB2312"/>
                <w:kern w:val="0"/>
              </w:rPr>
              <w:t>）</w:t>
            </w:r>
          </w:p>
        </w:tc>
        <w:tc>
          <w:tcPr>
            <w:tcW w:w="990" w:type="dxa"/>
            <w:tcBorders>
              <w:bottom w:val="single" w:color="auto" w:sz="4" w:space="0"/>
              <w:right w:val="single" w:color="auto" w:sz="4" w:space="0"/>
            </w:tcBorders>
            <w:vAlign w:val="center"/>
          </w:tcPr>
          <w:p w14:paraId="70617546">
            <w:pPr>
              <w:widowControl/>
              <w:spacing w:line="240" w:lineRule="exact"/>
              <w:jc w:val="left"/>
              <w:rPr>
                <w:rFonts w:cs="Times New Roman"/>
              </w:rPr>
            </w:pPr>
            <w:r>
              <w:rPr>
                <w:rFonts w:hint="eastAsia" w:ascii="仿宋_GB2312" w:hAnsi="新宋体" w:eastAsia="仿宋_GB2312" w:cs="仿宋_GB2312"/>
                <w:kern w:val="0"/>
              </w:rPr>
              <w:t>履职完成情况（</w:t>
            </w:r>
            <w:r>
              <w:rPr>
                <w:rFonts w:ascii="仿宋_GB2312" w:hAnsi="新宋体" w:eastAsia="仿宋_GB2312" w:cs="仿宋_GB2312"/>
                <w:kern w:val="0"/>
              </w:rPr>
              <w:t>10</w:t>
            </w:r>
            <w:r>
              <w:rPr>
                <w:rFonts w:hint="eastAsia" w:ascii="仿宋_GB2312" w:hAnsi="新宋体" w:eastAsia="仿宋_GB2312" w:cs="仿宋_GB2312"/>
                <w:kern w:val="0"/>
              </w:rPr>
              <w:t>分）</w:t>
            </w:r>
          </w:p>
        </w:tc>
        <w:tc>
          <w:tcPr>
            <w:tcW w:w="3975" w:type="dxa"/>
            <w:tcBorders>
              <w:left w:val="single" w:color="auto" w:sz="4" w:space="0"/>
              <w:bottom w:val="single" w:color="auto" w:sz="4" w:space="0"/>
              <w:right w:val="single" w:color="auto" w:sz="4" w:space="0"/>
            </w:tcBorders>
            <w:vAlign w:val="center"/>
          </w:tcPr>
          <w:p w14:paraId="3654339F">
            <w:pPr>
              <w:widowControl/>
              <w:spacing w:line="240" w:lineRule="exact"/>
              <w:jc w:val="left"/>
              <w:textAlignment w:val="center"/>
              <w:rPr>
                <w:rFonts w:cs="Times New Roman"/>
              </w:rPr>
            </w:pPr>
            <w:r>
              <w:rPr>
                <w:rFonts w:hint="eastAsia" w:ascii="仿宋" w:hAnsi="仿宋" w:eastAsia="仿宋" w:cs="仿宋"/>
                <w:color w:val="000000"/>
                <w:kern w:val="0"/>
              </w:rPr>
              <w:t>根据年度主要任务分解表的的具体任务，逐项评价任务量化指标完成情况、实施效果和责任制建立情况。用以反映和考核部门（单位）履职工作任务目标的完成情况。评价要点：</w:t>
            </w:r>
            <w:r>
              <w:rPr>
                <w:rFonts w:ascii="仿宋" w:hAnsi="仿宋" w:eastAsia="仿宋" w:cs="Times New Roman"/>
                <w:color w:val="000000"/>
                <w:kern w:val="0"/>
              </w:rPr>
              <w:br w:type="textWrapping"/>
            </w:r>
            <w:r>
              <w:rPr>
                <w:rFonts w:ascii="仿宋" w:hAnsi="仿宋" w:eastAsia="仿宋" w:cs="仿宋"/>
                <w:color w:val="000000"/>
                <w:kern w:val="0"/>
              </w:rPr>
              <w:t>1.</w:t>
            </w:r>
            <w:r>
              <w:rPr>
                <w:rFonts w:hint="eastAsia" w:ascii="仿宋" w:hAnsi="仿宋" w:eastAsia="仿宋" w:cs="仿宋"/>
                <w:color w:val="000000"/>
                <w:kern w:val="0"/>
              </w:rPr>
              <w:t>每项任务是否已制定了明确、具体、可量化、可衡量的绩效指标；</w:t>
            </w:r>
            <w:r>
              <w:rPr>
                <w:rFonts w:ascii="仿宋" w:hAnsi="仿宋" w:eastAsia="仿宋" w:cs="仿宋"/>
                <w:color w:val="000000"/>
                <w:kern w:val="0"/>
              </w:rPr>
              <w:t xml:space="preserve">           </w:t>
            </w:r>
            <w:r>
              <w:rPr>
                <w:rFonts w:ascii="仿宋" w:hAnsi="仿宋" w:eastAsia="仿宋" w:cs="仿宋"/>
                <w:color w:val="000000"/>
                <w:kern w:val="0"/>
              </w:rPr>
              <w:br w:type="textWrapping"/>
            </w:r>
            <w:r>
              <w:rPr>
                <w:rFonts w:ascii="仿宋" w:hAnsi="仿宋" w:eastAsia="仿宋" w:cs="仿宋"/>
                <w:color w:val="000000"/>
                <w:kern w:val="0"/>
              </w:rPr>
              <w:t>2.</w:t>
            </w:r>
            <w:r>
              <w:rPr>
                <w:rFonts w:hint="eastAsia" w:ascii="仿宋" w:hAnsi="仿宋" w:eastAsia="仿宋" w:cs="仿宋"/>
                <w:color w:val="000000"/>
                <w:kern w:val="0"/>
              </w:rPr>
              <w:t>每项任务绩效指标的完成情况，是全部完成、基本完成、未完成，还是未实施；</w:t>
            </w:r>
            <w:r>
              <w:rPr>
                <w:rFonts w:ascii="仿宋" w:hAnsi="仿宋" w:eastAsia="仿宋" w:cs="Times New Roman"/>
                <w:color w:val="000000"/>
                <w:kern w:val="0"/>
              </w:rPr>
              <w:br w:type="textWrapping"/>
            </w:r>
            <w:r>
              <w:rPr>
                <w:rFonts w:ascii="仿宋" w:hAnsi="仿宋" w:eastAsia="仿宋" w:cs="仿宋"/>
                <w:color w:val="000000"/>
                <w:kern w:val="0"/>
              </w:rPr>
              <w:t>3.</w:t>
            </w:r>
            <w:r>
              <w:rPr>
                <w:rFonts w:hint="eastAsia" w:ascii="仿宋" w:hAnsi="仿宋" w:eastAsia="仿宋" w:cs="仿宋"/>
                <w:color w:val="000000"/>
                <w:kern w:val="0"/>
              </w:rPr>
              <w:t>每项任务实施效果情况，是优秀、良好、一般，还是无效果；</w:t>
            </w:r>
            <w:r>
              <w:rPr>
                <w:rFonts w:ascii="仿宋" w:hAnsi="仿宋" w:eastAsia="仿宋" w:cs="Times New Roman"/>
                <w:color w:val="000000"/>
                <w:kern w:val="0"/>
              </w:rPr>
              <w:br w:type="textWrapping"/>
            </w:r>
            <w:r>
              <w:rPr>
                <w:rFonts w:ascii="仿宋" w:hAnsi="仿宋" w:eastAsia="仿宋" w:cs="仿宋"/>
                <w:color w:val="000000"/>
                <w:kern w:val="0"/>
              </w:rPr>
              <w:t>4.</w:t>
            </w:r>
            <w:r>
              <w:rPr>
                <w:rFonts w:hint="eastAsia" w:ascii="仿宋" w:hAnsi="仿宋" w:eastAsia="仿宋" w:cs="仿宋"/>
                <w:color w:val="000000"/>
                <w:kern w:val="0"/>
              </w:rPr>
              <w:t>每项任务是否建立了目标责任制，是否落实到具体部门和人员负责。</w:t>
            </w:r>
          </w:p>
        </w:tc>
        <w:tc>
          <w:tcPr>
            <w:tcW w:w="2550" w:type="dxa"/>
            <w:tcBorders>
              <w:left w:val="single" w:color="auto" w:sz="4" w:space="0"/>
              <w:bottom w:val="single" w:color="auto" w:sz="4" w:space="0"/>
              <w:right w:val="single" w:color="auto" w:sz="4" w:space="0"/>
            </w:tcBorders>
            <w:vAlign w:val="center"/>
          </w:tcPr>
          <w:p w14:paraId="538D6AF6">
            <w:pPr>
              <w:widowControl/>
              <w:spacing w:line="240" w:lineRule="exact"/>
              <w:jc w:val="left"/>
              <w:textAlignment w:val="center"/>
              <w:rPr>
                <w:rFonts w:cs="Times New Roman"/>
              </w:rPr>
            </w:pPr>
            <w:r>
              <w:rPr>
                <w:rFonts w:hint="eastAsia" w:ascii="仿宋" w:hAnsi="仿宋" w:eastAsia="仿宋" w:cs="仿宋"/>
                <w:color w:val="000000"/>
                <w:kern w:val="0"/>
              </w:rPr>
              <w:t>根据不同部门履职的内容和特点，具体测算部门履职工作任务目标的完成情况。</w:t>
            </w:r>
          </w:p>
        </w:tc>
        <w:tc>
          <w:tcPr>
            <w:tcW w:w="765" w:type="dxa"/>
            <w:tcBorders>
              <w:left w:val="single" w:color="auto" w:sz="4" w:space="0"/>
              <w:bottom w:val="single" w:color="auto" w:sz="4" w:space="0"/>
            </w:tcBorders>
            <w:vAlign w:val="center"/>
          </w:tcPr>
          <w:p w14:paraId="65CF0249">
            <w:pPr>
              <w:widowControl/>
              <w:spacing w:line="240" w:lineRule="exact"/>
              <w:jc w:val="center"/>
            </w:pPr>
            <w:r>
              <w:t>10</w:t>
            </w:r>
          </w:p>
        </w:tc>
      </w:tr>
      <w:tr w14:paraId="2EA81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0" w:hRule="atLeast"/>
        </w:trPr>
        <w:tc>
          <w:tcPr>
            <w:tcW w:w="795" w:type="dxa"/>
            <w:vMerge w:val="continue"/>
            <w:vAlign w:val="center"/>
          </w:tcPr>
          <w:p w14:paraId="31359A1C">
            <w:pPr>
              <w:spacing w:line="240" w:lineRule="exact"/>
              <w:rPr>
                <w:rFonts w:ascii="宋体" w:cs="Times New Roman"/>
              </w:rPr>
            </w:pPr>
          </w:p>
        </w:tc>
        <w:tc>
          <w:tcPr>
            <w:tcW w:w="765" w:type="dxa"/>
            <w:vMerge w:val="continue"/>
            <w:vAlign w:val="center"/>
          </w:tcPr>
          <w:p w14:paraId="2695C00F">
            <w:pPr>
              <w:spacing w:line="240" w:lineRule="exact"/>
              <w:rPr>
                <w:rFonts w:ascii="宋体" w:cs="Times New Roman"/>
              </w:rPr>
            </w:pPr>
          </w:p>
        </w:tc>
        <w:tc>
          <w:tcPr>
            <w:tcW w:w="990" w:type="dxa"/>
            <w:tcBorders>
              <w:right w:val="single" w:color="auto" w:sz="4" w:space="0"/>
            </w:tcBorders>
            <w:vAlign w:val="center"/>
          </w:tcPr>
          <w:p w14:paraId="4B2AA362">
            <w:pPr>
              <w:widowControl/>
              <w:spacing w:line="240" w:lineRule="exact"/>
              <w:jc w:val="left"/>
              <w:rPr>
                <w:rFonts w:cs="Times New Roman"/>
              </w:rPr>
            </w:pPr>
            <w:r>
              <w:rPr>
                <w:rFonts w:hint="eastAsia" w:ascii="仿宋_GB2312" w:hAnsi="新宋体" w:eastAsia="仿宋_GB2312" w:cs="仿宋_GB2312"/>
                <w:kern w:val="0"/>
              </w:rPr>
              <w:t>项目完成质量达标率（</w:t>
            </w:r>
            <w:r>
              <w:rPr>
                <w:rFonts w:ascii="仿宋_GB2312" w:hAnsi="新宋体" w:eastAsia="仿宋_GB2312" w:cs="仿宋_GB2312"/>
                <w:kern w:val="0"/>
              </w:rPr>
              <w:t>15</w:t>
            </w:r>
            <w:r>
              <w:rPr>
                <w:rFonts w:hint="eastAsia" w:ascii="仿宋_GB2312" w:hAnsi="新宋体" w:eastAsia="仿宋_GB2312" w:cs="仿宋_GB2312"/>
                <w:kern w:val="0"/>
              </w:rPr>
              <w:t>）</w:t>
            </w:r>
          </w:p>
        </w:tc>
        <w:tc>
          <w:tcPr>
            <w:tcW w:w="3975" w:type="dxa"/>
            <w:tcBorders>
              <w:left w:val="single" w:color="auto" w:sz="4" w:space="0"/>
              <w:right w:val="single" w:color="auto" w:sz="4" w:space="0"/>
            </w:tcBorders>
            <w:vAlign w:val="center"/>
          </w:tcPr>
          <w:p w14:paraId="5605B866">
            <w:pPr>
              <w:widowControl/>
              <w:spacing w:line="240" w:lineRule="exact"/>
              <w:jc w:val="left"/>
              <w:rPr>
                <w:rFonts w:cs="Times New Roman"/>
              </w:rPr>
            </w:pPr>
            <w:r>
              <w:rPr>
                <w:rFonts w:hint="eastAsia" w:ascii="仿宋_GB2312" w:hAnsi="新宋体" w:eastAsia="仿宋_GB2312" w:cs="仿宋_GB2312"/>
                <w:kern w:val="0"/>
              </w:rPr>
              <w:t>部门已完成项目中质量达标项目个数占已完成项目个数的比率</w:t>
            </w:r>
            <w:r>
              <w:rPr>
                <w:rFonts w:ascii="仿宋_GB2312" w:hAnsi="新宋体" w:eastAsia="仿宋_GB2312" w:cs="仿宋_GB2312"/>
                <w:kern w:val="0"/>
              </w:rPr>
              <w:t>,</w:t>
            </w:r>
            <w:r>
              <w:rPr>
                <w:rFonts w:hint="eastAsia" w:ascii="仿宋_GB2312" w:hAnsi="新宋体" w:eastAsia="仿宋_GB2312" w:cs="仿宋_GB2312"/>
                <w:kern w:val="0"/>
              </w:rPr>
              <w:t>用以反映和评价部门履职质量目标的实现程度。</w:t>
            </w:r>
          </w:p>
          <w:p w14:paraId="6A65A5FF">
            <w:pPr>
              <w:widowControl/>
              <w:spacing w:line="240" w:lineRule="exact"/>
              <w:jc w:val="left"/>
              <w:rPr>
                <w:rFonts w:cs="Times New Roman"/>
              </w:rPr>
            </w:pPr>
            <w:r>
              <w:rPr>
                <w:rFonts w:hint="eastAsia" w:ascii="仿宋_GB2312" w:hAnsi="新宋体" w:eastAsia="仿宋_GB2312" w:cs="仿宋_GB2312"/>
                <w:kern w:val="0"/>
              </w:rPr>
              <w:t>项目质量达标率</w:t>
            </w:r>
            <w:r>
              <w:rPr>
                <w:rFonts w:ascii="仿宋_GB2312" w:hAnsi="新宋体" w:eastAsia="仿宋_GB2312" w:cs="仿宋_GB2312"/>
                <w:kern w:val="0"/>
              </w:rPr>
              <w:t>=</w:t>
            </w:r>
            <w:r>
              <w:rPr>
                <w:rFonts w:hint="eastAsia" w:ascii="仿宋_GB2312" w:hAnsi="新宋体" w:eastAsia="仿宋_GB2312" w:cs="仿宋_GB2312"/>
                <w:kern w:val="0"/>
              </w:rPr>
              <w:t>（已完成项目中质量达标项目个数</w:t>
            </w:r>
            <w:r>
              <w:rPr>
                <w:rFonts w:ascii="仿宋_GB2312" w:hAnsi="新宋体" w:eastAsia="仿宋_GB2312" w:cs="仿宋_GB2312"/>
                <w:kern w:val="0"/>
              </w:rPr>
              <w:t>/</w:t>
            </w:r>
            <w:r>
              <w:rPr>
                <w:rFonts w:hint="eastAsia" w:ascii="仿宋_GB2312" w:hAnsi="新宋体" w:eastAsia="仿宋_GB2312" w:cs="仿宋_GB2312"/>
                <w:kern w:val="0"/>
              </w:rPr>
              <w:t>已完成项目个数）×</w:t>
            </w:r>
            <w:r>
              <w:rPr>
                <w:rFonts w:ascii="仿宋_GB2312" w:hAnsi="新宋体" w:eastAsia="仿宋_GB2312" w:cs="仿宋_GB2312"/>
                <w:kern w:val="0"/>
              </w:rPr>
              <w:t>100%</w:t>
            </w:r>
            <w:r>
              <w:rPr>
                <w:rFonts w:hint="eastAsia" w:ascii="仿宋_GB2312" w:hAnsi="新宋体" w:eastAsia="仿宋_GB2312" w:cs="仿宋_GB2312"/>
                <w:kern w:val="0"/>
              </w:rPr>
              <w:t>。</w:t>
            </w:r>
          </w:p>
          <w:p w14:paraId="048BEBDD">
            <w:pPr>
              <w:widowControl/>
              <w:spacing w:line="240" w:lineRule="exact"/>
              <w:jc w:val="left"/>
              <w:rPr>
                <w:rFonts w:cs="Times New Roman"/>
              </w:rPr>
            </w:pPr>
            <w:r>
              <w:rPr>
                <w:rFonts w:hint="eastAsia" w:ascii="仿宋_GB2312" w:hAnsi="新宋体" w:eastAsia="仿宋_GB2312" w:cs="仿宋_GB2312"/>
                <w:kern w:val="0"/>
              </w:rPr>
              <w:t>项目质量达标是指项目决算验收合格。</w:t>
            </w:r>
          </w:p>
        </w:tc>
        <w:tc>
          <w:tcPr>
            <w:tcW w:w="2550" w:type="dxa"/>
            <w:tcBorders>
              <w:left w:val="single" w:color="auto" w:sz="4" w:space="0"/>
              <w:right w:val="single" w:color="auto" w:sz="4" w:space="0"/>
            </w:tcBorders>
            <w:vAlign w:val="center"/>
          </w:tcPr>
          <w:p w14:paraId="33D4F1E0">
            <w:pPr>
              <w:widowControl/>
              <w:spacing w:line="240" w:lineRule="exact"/>
              <w:jc w:val="left"/>
              <w:rPr>
                <w:rFonts w:cs="Times New Roman"/>
              </w:rPr>
            </w:pPr>
            <w:r>
              <w:rPr>
                <w:rFonts w:ascii="仿宋_GB2312" w:hAnsi="新宋体" w:eastAsia="仿宋_GB2312" w:cs="仿宋_GB2312"/>
                <w:kern w:val="0"/>
              </w:rPr>
              <w:t>1.</w:t>
            </w:r>
            <w:r>
              <w:rPr>
                <w:rFonts w:hint="eastAsia" w:ascii="仿宋_GB2312" w:hAnsi="新宋体" w:eastAsia="仿宋_GB2312" w:cs="仿宋_GB2312"/>
                <w:kern w:val="0"/>
              </w:rPr>
              <w:t>项目质量达标率等于</w:t>
            </w:r>
            <w:r>
              <w:rPr>
                <w:rFonts w:ascii="仿宋_GB2312" w:hAnsi="新宋体" w:eastAsia="仿宋_GB2312" w:cs="仿宋_GB2312"/>
                <w:kern w:val="0"/>
              </w:rPr>
              <w:t>100%</w:t>
            </w:r>
            <w:r>
              <w:rPr>
                <w:rFonts w:hint="eastAsia" w:ascii="仿宋_GB2312" w:hAnsi="新宋体" w:eastAsia="仿宋_GB2312" w:cs="仿宋_GB2312"/>
                <w:kern w:val="0"/>
              </w:rPr>
              <w:t>的，得满分；</w:t>
            </w:r>
          </w:p>
          <w:p w14:paraId="7B47BA66">
            <w:pPr>
              <w:widowControl/>
              <w:spacing w:line="240" w:lineRule="exact"/>
              <w:jc w:val="left"/>
              <w:rPr>
                <w:rFonts w:cs="Times New Roman"/>
              </w:rPr>
            </w:pPr>
            <w:r>
              <w:rPr>
                <w:rFonts w:ascii="仿宋_GB2312" w:hAnsi="新宋体" w:eastAsia="仿宋_GB2312" w:cs="仿宋_GB2312"/>
                <w:kern w:val="0"/>
              </w:rPr>
              <w:t>2.</w:t>
            </w:r>
            <w:r>
              <w:rPr>
                <w:rFonts w:hint="eastAsia" w:ascii="仿宋_GB2312" w:hAnsi="新宋体" w:eastAsia="仿宋_GB2312" w:cs="仿宋_GB2312"/>
                <w:kern w:val="0"/>
              </w:rPr>
              <w:t>项目质量达标率小于或等于</w:t>
            </w:r>
            <w:r>
              <w:rPr>
                <w:rFonts w:ascii="仿宋_GB2312" w:hAnsi="新宋体" w:eastAsia="仿宋_GB2312" w:cs="仿宋_GB2312"/>
                <w:kern w:val="0"/>
              </w:rPr>
              <w:t>99%</w:t>
            </w:r>
            <w:r>
              <w:rPr>
                <w:rFonts w:hint="eastAsia" w:ascii="仿宋_GB2312" w:hAnsi="新宋体" w:eastAsia="仿宋_GB2312" w:cs="仿宋_GB2312"/>
                <w:kern w:val="0"/>
              </w:rPr>
              <w:t>的，得</w:t>
            </w:r>
            <w:r>
              <w:rPr>
                <w:rFonts w:ascii="仿宋_GB2312" w:hAnsi="新宋体" w:eastAsia="仿宋_GB2312" w:cs="仿宋_GB2312"/>
                <w:kern w:val="0"/>
              </w:rPr>
              <w:t>0</w:t>
            </w:r>
            <w:r>
              <w:rPr>
                <w:rFonts w:hint="eastAsia" w:ascii="仿宋_GB2312" w:hAnsi="新宋体" w:eastAsia="仿宋_GB2312" w:cs="仿宋_GB2312"/>
                <w:kern w:val="0"/>
              </w:rPr>
              <w:t>分；</w:t>
            </w:r>
          </w:p>
          <w:p w14:paraId="40321DD0">
            <w:pPr>
              <w:widowControl/>
              <w:spacing w:line="240" w:lineRule="exact"/>
              <w:jc w:val="left"/>
              <w:rPr>
                <w:rFonts w:cs="Times New Roman"/>
              </w:rPr>
            </w:pPr>
            <w:r>
              <w:rPr>
                <w:rFonts w:ascii="仿宋_GB2312" w:hAnsi="新宋体" w:eastAsia="仿宋_GB2312" w:cs="仿宋_GB2312"/>
                <w:kern w:val="0"/>
              </w:rPr>
              <w:t>3.</w:t>
            </w:r>
            <w:r>
              <w:rPr>
                <w:rFonts w:hint="eastAsia" w:ascii="仿宋_GB2312" w:hAnsi="新宋体" w:eastAsia="仿宋_GB2312" w:cs="仿宋_GB2312"/>
                <w:kern w:val="0"/>
              </w:rPr>
              <w:t>项目质量达标率在</w:t>
            </w:r>
            <w:r>
              <w:rPr>
                <w:rFonts w:ascii="仿宋_GB2312" w:hAnsi="新宋体" w:eastAsia="仿宋_GB2312" w:cs="仿宋_GB2312"/>
                <w:kern w:val="0"/>
              </w:rPr>
              <w:t>99%-100%</w:t>
            </w:r>
            <w:r>
              <w:rPr>
                <w:rFonts w:hint="eastAsia" w:ascii="仿宋_GB2312" w:hAnsi="新宋体" w:eastAsia="仿宋_GB2312" w:cs="仿宋_GB2312"/>
                <w:kern w:val="0"/>
              </w:rPr>
              <w:t>之间的，在</w:t>
            </w:r>
            <w:r>
              <w:rPr>
                <w:rFonts w:ascii="仿宋_GB2312" w:hAnsi="新宋体" w:eastAsia="仿宋_GB2312" w:cs="仿宋_GB2312"/>
                <w:kern w:val="0"/>
              </w:rPr>
              <w:t>0</w:t>
            </w:r>
            <w:r>
              <w:rPr>
                <w:rFonts w:hint="eastAsia" w:ascii="仿宋_GB2312" w:hAnsi="新宋体" w:eastAsia="仿宋_GB2312" w:cs="仿宋_GB2312"/>
                <w:kern w:val="0"/>
              </w:rPr>
              <w:t>和满分之间计算确定：</w:t>
            </w:r>
            <w:r>
              <w:rPr>
                <w:rFonts w:ascii="仿宋_GB2312" w:hAnsi="新宋体" w:eastAsia="仿宋_GB2312" w:cs="仿宋_GB2312"/>
                <w:kern w:val="0"/>
              </w:rPr>
              <w:t xml:space="preserve"> </w:t>
            </w:r>
          </w:p>
          <w:p w14:paraId="3E434FB0">
            <w:pPr>
              <w:widowControl/>
              <w:spacing w:line="240" w:lineRule="exact"/>
              <w:jc w:val="left"/>
              <w:rPr>
                <w:rFonts w:cs="Times New Roman"/>
              </w:rPr>
            </w:pPr>
            <w:r>
              <w:rPr>
                <w:rFonts w:hint="eastAsia" w:ascii="仿宋_GB2312" w:hAnsi="新宋体" w:eastAsia="仿宋_GB2312" w:cs="仿宋_GB2312"/>
                <w:kern w:val="0"/>
              </w:rPr>
              <w:t>得分</w:t>
            </w:r>
            <w:r>
              <w:rPr>
                <w:rFonts w:ascii="仿宋_GB2312" w:hAnsi="新宋体" w:eastAsia="仿宋_GB2312" w:cs="仿宋_GB2312"/>
                <w:kern w:val="0"/>
              </w:rPr>
              <w:t>=</w:t>
            </w:r>
            <w:r>
              <w:rPr>
                <w:rFonts w:hint="eastAsia" w:ascii="仿宋_GB2312" w:hAnsi="新宋体" w:eastAsia="仿宋_GB2312" w:cs="仿宋_GB2312"/>
                <w:kern w:val="0"/>
              </w:rPr>
              <w:t>［某部门项目质量达标率</w:t>
            </w:r>
            <w:r>
              <w:rPr>
                <w:rFonts w:ascii="仿宋_GB2312" w:hAnsi="新宋体" w:eastAsia="仿宋_GB2312" w:cs="仿宋_GB2312"/>
                <w:kern w:val="0"/>
              </w:rPr>
              <w:t>-min</w:t>
            </w:r>
            <w:r>
              <w:rPr>
                <w:rFonts w:hint="eastAsia" w:ascii="仿宋_GB2312" w:hAnsi="新宋体" w:eastAsia="仿宋_GB2312" w:cs="仿宋_GB2312"/>
                <w:kern w:val="0"/>
              </w:rPr>
              <w:t>（项目质量达标率）］</w:t>
            </w:r>
            <w:r>
              <w:rPr>
                <w:rFonts w:ascii="仿宋_GB2312" w:hAnsi="新宋体" w:eastAsia="仿宋_GB2312" w:cs="仿宋_GB2312"/>
                <w:kern w:val="0"/>
              </w:rPr>
              <w:t>/</w:t>
            </w:r>
            <w:r>
              <w:rPr>
                <w:rFonts w:hint="eastAsia" w:ascii="仿宋_GB2312" w:hAnsi="新宋体" w:eastAsia="仿宋_GB2312" w:cs="仿宋_GB2312"/>
                <w:kern w:val="0"/>
              </w:rPr>
              <w:t>［</w:t>
            </w:r>
            <w:r>
              <w:rPr>
                <w:rFonts w:ascii="仿宋_GB2312" w:hAnsi="新宋体" w:eastAsia="仿宋_GB2312" w:cs="仿宋_GB2312"/>
                <w:kern w:val="0"/>
              </w:rPr>
              <w:t>max</w:t>
            </w:r>
            <w:r>
              <w:rPr>
                <w:rFonts w:hint="eastAsia" w:ascii="仿宋_GB2312" w:hAnsi="新宋体" w:eastAsia="仿宋_GB2312" w:cs="仿宋_GB2312"/>
                <w:kern w:val="0"/>
              </w:rPr>
              <w:t>（项目质量达标率）</w:t>
            </w:r>
            <w:r>
              <w:rPr>
                <w:rFonts w:ascii="仿宋_GB2312" w:hAnsi="新宋体" w:eastAsia="仿宋_GB2312" w:cs="仿宋_GB2312"/>
                <w:kern w:val="0"/>
              </w:rPr>
              <w:t>-min</w:t>
            </w:r>
            <w:r>
              <w:rPr>
                <w:rFonts w:hint="eastAsia" w:ascii="仿宋_GB2312" w:hAnsi="新宋体" w:eastAsia="仿宋_GB2312" w:cs="仿宋_GB2312"/>
                <w:kern w:val="0"/>
              </w:rPr>
              <w:t>（项目质量达标率）］×该指标分值。</w:t>
            </w:r>
          </w:p>
        </w:tc>
        <w:tc>
          <w:tcPr>
            <w:tcW w:w="765" w:type="dxa"/>
            <w:tcBorders>
              <w:left w:val="single" w:color="auto" w:sz="4" w:space="0"/>
              <w:bottom w:val="single" w:color="auto" w:sz="4" w:space="0"/>
            </w:tcBorders>
            <w:vAlign w:val="center"/>
          </w:tcPr>
          <w:p w14:paraId="0AA1BE9D">
            <w:pPr>
              <w:widowControl/>
              <w:spacing w:line="240" w:lineRule="exact"/>
              <w:jc w:val="center"/>
            </w:pPr>
            <w:r>
              <w:t>15</w:t>
            </w:r>
          </w:p>
        </w:tc>
      </w:tr>
      <w:tr w14:paraId="530D6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95" w:type="dxa"/>
            <w:vMerge w:val="restart"/>
            <w:vAlign w:val="center"/>
          </w:tcPr>
          <w:p w14:paraId="49393212">
            <w:pPr>
              <w:widowControl/>
              <w:spacing w:line="240" w:lineRule="exact"/>
              <w:jc w:val="left"/>
              <w:rPr>
                <w:rFonts w:cs="Times New Roman"/>
              </w:rPr>
            </w:pPr>
            <w:r>
              <w:rPr>
                <w:rFonts w:hint="eastAsia" w:ascii="仿宋_GB2312" w:hAnsi="新宋体" w:eastAsia="仿宋_GB2312" w:cs="仿宋_GB2312"/>
                <w:kern w:val="0"/>
              </w:rPr>
              <w:t>效果（</w:t>
            </w:r>
            <w:r>
              <w:rPr>
                <w:rFonts w:ascii="仿宋_GB2312" w:hAnsi="新宋体" w:eastAsia="仿宋_GB2312" w:cs="仿宋_GB2312"/>
                <w:kern w:val="0"/>
              </w:rPr>
              <w:t>20</w:t>
            </w:r>
            <w:r>
              <w:rPr>
                <w:rFonts w:hint="eastAsia" w:ascii="仿宋_GB2312" w:hAnsi="新宋体" w:eastAsia="仿宋_GB2312" w:cs="仿宋_GB2312"/>
                <w:kern w:val="0"/>
              </w:rPr>
              <w:t>分）</w:t>
            </w:r>
          </w:p>
        </w:tc>
        <w:tc>
          <w:tcPr>
            <w:tcW w:w="765" w:type="dxa"/>
            <w:vMerge w:val="restart"/>
            <w:tcBorders>
              <w:top w:val="single" w:color="auto" w:sz="4" w:space="0"/>
            </w:tcBorders>
            <w:vAlign w:val="center"/>
          </w:tcPr>
          <w:p w14:paraId="12C326CA">
            <w:pPr>
              <w:widowControl/>
              <w:spacing w:line="240" w:lineRule="exact"/>
              <w:jc w:val="left"/>
              <w:rPr>
                <w:rFonts w:ascii="仿宋_GB2312" w:hAnsi="新宋体" w:eastAsia="仿宋_GB2312" w:cs="Times New Roman"/>
                <w:kern w:val="0"/>
              </w:rPr>
            </w:pPr>
          </w:p>
          <w:p w14:paraId="023B8BAF">
            <w:pPr>
              <w:widowControl/>
              <w:spacing w:line="240" w:lineRule="exact"/>
              <w:jc w:val="left"/>
              <w:rPr>
                <w:rFonts w:ascii="仿宋_GB2312" w:hAnsi="新宋体" w:eastAsia="仿宋_GB2312" w:cs="Times New Roman"/>
                <w:kern w:val="0"/>
              </w:rPr>
            </w:pPr>
            <w:r>
              <w:rPr>
                <w:rFonts w:hint="eastAsia" w:ascii="仿宋_GB2312" w:hAnsi="新宋体" w:eastAsia="仿宋_GB2312" w:cs="仿宋_GB2312"/>
                <w:kern w:val="0"/>
              </w:rPr>
              <w:t>履职效益情况</w:t>
            </w:r>
          </w:p>
          <w:p w14:paraId="1F04EA2B">
            <w:pPr>
              <w:widowControl/>
              <w:spacing w:line="240" w:lineRule="exact"/>
              <w:jc w:val="left"/>
              <w:rPr>
                <w:rFonts w:ascii="仿宋_GB2312" w:hAnsi="新宋体" w:eastAsia="仿宋_GB2312" w:cs="Times New Roman"/>
                <w:kern w:val="0"/>
              </w:rPr>
            </w:pPr>
            <w:r>
              <w:rPr>
                <w:rFonts w:hint="eastAsia" w:ascii="仿宋_GB2312" w:hAnsi="新宋体" w:eastAsia="仿宋_GB2312" w:cs="仿宋_GB2312"/>
                <w:kern w:val="0"/>
              </w:rPr>
              <w:t>（</w:t>
            </w:r>
            <w:r>
              <w:rPr>
                <w:rFonts w:ascii="仿宋_GB2312" w:hAnsi="新宋体" w:eastAsia="仿宋_GB2312" w:cs="仿宋_GB2312"/>
                <w:kern w:val="0"/>
              </w:rPr>
              <w:t>20</w:t>
            </w:r>
            <w:r>
              <w:rPr>
                <w:rFonts w:hint="eastAsia" w:ascii="仿宋_GB2312" w:hAnsi="新宋体" w:eastAsia="仿宋_GB2312" w:cs="仿宋_GB2312"/>
                <w:kern w:val="0"/>
              </w:rPr>
              <w:t>分）</w:t>
            </w:r>
          </w:p>
        </w:tc>
        <w:tc>
          <w:tcPr>
            <w:tcW w:w="990" w:type="dxa"/>
            <w:tcBorders>
              <w:right w:val="single" w:color="auto" w:sz="4" w:space="0"/>
            </w:tcBorders>
            <w:vAlign w:val="center"/>
          </w:tcPr>
          <w:p w14:paraId="03B40A3B">
            <w:pPr>
              <w:widowControl/>
              <w:spacing w:line="240" w:lineRule="exact"/>
              <w:jc w:val="left"/>
              <w:rPr>
                <w:rFonts w:cs="Times New Roman"/>
              </w:rPr>
            </w:pPr>
            <w:r>
              <w:rPr>
                <w:rFonts w:hint="eastAsia" w:ascii="仿宋_GB2312" w:hAnsi="新宋体" w:eastAsia="仿宋_GB2312" w:cs="仿宋_GB2312"/>
                <w:color w:val="000000"/>
                <w:kern w:val="0"/>
              </w:rPr>
              <w:t>经济效益</w:t>
            </w:r>
            <w:r>
              <w:rPr>
                <w:rFonts w:hint="eastAsia" w:ascii="仿宋_GB2312" w:hAnsi="新宋体" w:eastAsia="仿宋_GB2312" w:cs="仿宋_GB2312"/>
                <w:kern w:val="0"/>
              </w:rPr>
              <w:t>（</w:t>
            </w:r>
            <w:r>
              <w:rPr>
                <w:rFonts w:ascii="仿宋_GB2312" w:hAnsi="新宋体" w:eastAsia="仿宋_GB2312" w:cs="仿宋_GB2312"/>
                <w:kern w:val="0"/>
              </w:rPr>
              <w:t>5</w:t>
            </w:r>
            <w:r>
              <w:rPr>
                <w:rFonts w:hint="eastAsia" w:ascii="仿宋_GB2312" w:hAnsi="新宋体" w:eastAsia="仿宋_GB2312" w:cs="仿宋_GB2312"/>
                <w:kern w:val="0"/>
              </w:rPr>
              <w:t>分）</w:t>
            </w:r>
          </w:p>
        </w:tc>
        <w:tc>
          <w:tcPr>
            <w:tcW w:w="3975" w:type="dxa"/>
            <w:tcBorders>
              <w:left w:val="single" w:color="auto" w:sz="4" w:space="0"/>
              <w:right w:val="single" w:color="auto" w:sz="4" w:space="0"/>
            </w:tcBorders>
            <w:vAlign w:val="center"/>
          </w:tcPr>
          <w:p w14:paraId="49414218">
            <w:pPr>
              <w:widowControl/>
              <w:spacing w:line="240" w:lineRule="exact"/>
              <w:jc w:val="left"/>
              <w:textAlignment w:val="center"/>
              <w:rPr>
                <w:rFonts w:ascii="仿宋" w:hAnsi="仿宋" w:eastAsia="仿宋" w:cs="Times New Roman"/>
                <w:color w:val="000000"/>
                <w:kern w:val="0"/>
              </w:rPr>
            </w:pPr>
            <w:r>
              <w:rPr>
                <w:rFonts w:hint="eastAsia" w:ascii="仿宋" w:hAnsi="仿宋" w:eastAsia="仿宋" w:cs="仿宋"/>
                <w:color w:val="000000"/>
                <w:kern w:val="0"/>
              </w:rPr>
              <w:t>部门及所属二级单位通过履行职责和预算安排支出项目的实施，对我市带来的经济影响。</w:t>
            </w:r>
          </w:p>
          <w:p w14:paraId="5EE3CEDB">
            <w:pPr>
              <w:widowControl/>
              <w:spacing w:line="240" w:lineRule="exact"/>
              <w:jc w:val="left"/>
              <w:textAlignment w:val="center"/>
              <w:rPr>
                <w:rFonts w:ascii="仿宋" w:hAnsi="仿宋" w:eastAsia="仿宋" w:cs="Times New Roman"/>
              </w:rPr>
            </w:pPr>
            <w:r>
              <w:rPr>
                <w:rFonts w:hint="eastAsia" w:ascii="仿宋" w:hAnsi="仿宋" w:eastAsia="仿宋" w:cs="仿宋"/>
                <w:color w:val="000000"/>
                <w:kern w:val="0"/>
              </w:rPr>
              <w:t>评价要点：</w:t>
            </w:r>
            <w:r>
              <w:rPr>
                <w:rFonts w:ascii="仿宋" w:hAnsi="仿宋" w:eastAsia="仿宋" w:cs="Times New Roman"/>
                <w:color w:val="000000"/>
                <w:kern w:val="0"/>
              </w:rPr>
              <w:br w:type="textWrapping"/>
            </w:r>
            <w:r>
              <w:rPr>
                <w:rFonts w:ascii="仿宋" w:hAnsi="仿宋" w:eastAsia="仿宋" w:cs="仿宋"/>
                <w:color w:val="000000"/>
                <w:kern w:val="0"/>
              </w:rPr>
              <w:t>1.</w:t>
            </w:r>
            <w:r>
              <w:rPr>
                <w:rFonts w:hint="eastAsia" w:ascii="仿宋" w:hAnsi="仿宋" w:eastAsia="仿宋" w:cs="仿宋"/>
                <w:color w:val="000000"/>
                <w:kern w:val="0"/>
              </w:rPr>
              <w:t>通过部门所属企事业单位改革，促进了企事业单位效益增长情况；</w:t>
            </w:r>
            <w:r>
              <w:rPr>
                <w:rFonts w:ascii="仿宋" w:hAnsi="仿宋" w:eastAsia="仿宋" w:cs="仿宋"/>
                <w:color w:val="000000"/>
                <w:kern w:val="0"/>
              </w:rPr>
              <w:t xml:space="preserve">          </w:t>
            </w:r>
            <w:r>
              <w:rPr>
                <w:rFonts w:ascii="仿宋" w:hAnsi="仿宋" w:eastAsia="仿宋" w:cs="仿宋"/>
                <w:color w:val="000000"/>
                <w:kern w:val="0"/>
              </w:rPr>
              <w:br w:type="textWrapping"/>
            </w:r>
            <w:r>
              <w:rPr>
                <w:rFonts w:ascii="仿宋" w:hAnsi="仿宋" w:eastAsia="仿宋" w:cs="仿宋"/>
                <w:color w:val="000000"/>
                <w:kern w:val="0"/>
              </w:rPr>
              <w:t>2.</w:t>
            </w:r>
            <w:r>
              <w:rPr>
                <w:rFonts w:hint="eastAsia" w:ascii="仿宋" w:hAnsi="仿宋" w:eastAsia="仿宋" w:cs="仿宋"/>
                <w:color w:val="000000"/>
                <w:kern w:val="0"/>
              </w:rPr>
              <w:t>通过预算支出项目的实施，促进了行业生产能力增长，从而带动行业经济效益增长；</w:t>
            </w:r>
            <w:r>
              <w:rPr>
                <w:rFonts w:ascii="仿宋" w:hAnsi="仿宋" w:eastAsia="仿宋" w:cs="Times New Roman"/>
                <w:color w:val="000000"/>
                <w:kern w:val="0"/>
              </w:rPr>
              <w:br w:type="textWrapping"/>
            </w:r>
            <w:r>
              <w:rPr>
                <w:rFonts w:ascii="仿宋" w:hAnsi="仿宋" w:eastAsia="仿宋" w:cs="仿宋"/>
                <w:color w:val="000000"/>
                <w:kern w:val="0"/>
              </w:rPr>
              <w:t>3.</w:t>
            </w:r>
            <w:r>
              <w:rPr>
                <w:rFonts w:hint="eastAsia" w:ascii="仿宋" w:hAnsi="仿宋" w:eastAsia="仿宋" w:cs="仿宋"/>
                <w:color w:val="000000"/>
                <w:kern w:val="0"/>
              </w:rPr>
              <w:t>通过预算支出项目的实施，有效提高劳动效率，节约成本费用；</w:t>
            </w:r>
            <w:r>
              <w:rPr>
                <w:rFonts w:ascii="仿宋" w:hAnsi="仿宋" w:eastAsia="仿宋" w:cs="Times New Roman"/>
                <w:color w:val="000000"/>
                <w:kern w:val="0"/>
              </w:rPr>
              <w:br w:type="textWrapping"/>
            </w:r>
            <w:r>
              <w:rPr>
                <w:rFonts w:ascii="仿宋" w:hAnsi="仿宋" w:eastAsia="仿宋" w:cs="仿宋"/>
                <w:color w:val="000000"/>
                <w:kern w:val="0"/>
              </w:rPr>
              <w:t>4.</w:t>
            </w:r>
            <w:r>
              <w:rPr>
                <w:rFonts w:hint="eastAsia" w:ascii="仿宋" w:hAnsi="仿宋" w:eastAsia="仿宋" w:cs="仿宋"/>
                <w:color w:val="000000"/>
                <w:kern w:val="0"/>
              </w:rPr>
              <w:t>通过预算支出项目的实施，降低了损耗，从而提高了生产效益；</w:t>
            </w:r>
            <w:r>
              <w:rPr>
                <w:rFonts w:ascii="仿宋" w:hAnsi="仿宋" w:eastAsia="仿宋" w:cs="Times New Roman"/>
                <w:color w:val="000000"/>
                <w:kern w:val="0"/>
              </w:rPr>
              <w:br w:type="textWrapping"/>
            </w:r>
            <w:r>
              <w:rPr>
                <w:rFonts w:ascii="仿宋" w:hAnsi="仿宋" w:eastAsia="仿宋" w:cs="仿宋"/>
                <w:color w:val="000000"/>
                <w:kern w:val="0"/>
              </w:rPr>
              <w:t>5.</w:t>
            </w:r>
            <w:r>
              <w:rPr>
                <w:rFonts w:hint="eastAsia" w:ascii="仿宋" w:hAnsi="仿宋" w:eastAsia="仿宋" w:cs="仿宋"/>
                <w:color w:val="000000"/>
                <w:kern w:val="0"/>
              </w:rPr>
              <w:t>通过预算支出项目的实施，完善了突发情况的监测预警，保障了生产安全，降低了生产损失。</w:t>
            </w:r>
          </w:p>
        </w:tc>
        <w:tc>
          <w:tcPr>
            <w:tcW w:w="2550" w:type="dxa"/>
            <w:tcBorders>
              <w:left w:val="single" w:color="auto" w:sz="4" w:space="0"/>
              <w:right w:val="single" w:color="auto" w:sz="4" w:space="0"/>
            </w:tcBorders>
            <w:vAlign w:val="center"/>
          </w:tcPr>
          <w:p w14:paraId="0975E5C3">
            <w:pPr>
              <w:widowControl/>
              <w:spacing w:line="240" w:lineRule="exact"/>
              <w:jc w:val="left"/>
              <w:textAlignment w:val="center"/>
              <w:rPr>
                <w:rFonts w:ascii="仿宋" w:hAnsi="仿宋" w:eastAsia="仿宋" w:cs="Times New Roman"/>
              </w:rPr>
            </w:pPr>
            <w:r>
              <w:rPr>
                <w:rFonts w:hint="eastAsia" w:ascii="仿宋" w:hAnsi="仿宋" w:eastAsia="仿宋" w:cs="仿宋"/>
                <w:color w:val="000000"/>
                <w:kern w:val="0"/>
              </w:rPr>
              <w:t>根据不同部门履职的内容和特点，具体测算部门履职产生的经济效益。</w:t>
            </w:r>
          </w:p>
        </w:tc>
        <w:tc>
          <w:tcPr>
            <w:tcW w:w="765" w:type="dxa"/>
            <w:tcBorders>
              <w:left w:val="single" w:color="auto" w:sz="4" w:space="0"/>
            </w:tcBorders>
            <w:vAlign w:val="center"/>
          </w:tcPr>
          <w:p w14:paraId="37BAA049">
            <w:pPr>
              <w:widowControl/>
              <w:spacing w:line="240" w:lineRule="exact"/>
              <w:jc w:val="center"/>
            </w:pPr>
            <w:r>
              <w:t>5</w:t>
            </w:r>
          </w:p>
        </w:tc>
      </w:tr>
      <w:tr w14:paraId="6BC25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95" w:type="dxa"/>
            <w:vMerge w:val="continue"/>
            <w:vAlign w:val="center"/>
          </w:tcPr>
          <w:p w14:paraId="50D3ED4C">
            <w:pPr>
              <w:widowControl/>
              <w:spacing w:line="240" w:lineRule="exact"/>
              <w:jc w:val="left"/>
              <w:rPr>
                <w:rFonts w:ascii="仿宋_GB2312" w:hAnsi="新宋体" w:eastAsia="仿宋_GB2312" w:cs="Times New Roman"/>
                <w:kern w:val="0"/>
              </w:rPr>
            </w:pPr>
          </w:p>
        </w:tc>
        <w:tc>
          <w:tcPr>
            <w:tcW w:w="765" w:type="dxa"/>
            <w:vMerge w:val="continue"/>
            <w:vAlign w:val="center"/>
          </w:tcPr>
          <w:p w14:paraId="4999C77A">
            <w:pPr>
              <w:widowControl/>
              <w:spacing w:line="240" w:lineRule="exact"/>
              <w:jc w:val="left"/>
              <w:rPr>
                <w:rFonts w:ascii="仿宋_GB2312" w:hAnsi="新宋体" w:eastAsia="仿宋_GB2312" w:cs="Times New Roman"/>
                <w:kern w:val="0"/>
              </w:rPr>
            </w:pPr>
          </w:p>
        </w:tc>
        <w:tc>
          <w:tcPr>
            <w:tcW w:w="990" w:type="dxa"/>
            <w:tcBorders>
              <w:right w:val="single" w:color="auto" w:sz="4" w:space="0"/>
            </w:tcBorders>
            <w:vAlign w:val="center"/>
          </w:tcPr>
          <w:p w14:paraId="1E8A0663">
            <w:pPr>
              <w:widowControl/>
              <w:spacing w:line="240" w:lineRule="exact"/>
              <w:rPr>
                <w:rFonts w:ascii="仿宋_GB2312" w:hAnsi="新宋体" w:eastAsia="仿宋_GB2312" w:cs="Times New Roman"/>
                <w:color w:val="000000"/>
                <w:kern w:val="0"/>
              </w:rPr>
            </w:pPr>
            <w:r>
              <w:rPr>
                <w:rFonts w:hint="eastAsia" w:ascii="仿宋_GB2312" w:hAnsi="新宋体" w:eastAsia="仿宋_GB2312" w:cs="仿宋_GB2312"/>
                <w:color w:val="000000"/>
                <w:kern w:val="0"/>
              </w:rPr>
              <w:t>社会效益（</w:t>
            </w:r>
            <w:r>
              <w:rPr>
                <w:rFonts w:ascii="仿宋_GB2312" w:hAnsi="新宋体" w:eastAsia="仿宋_GB2312" w:cs="仿宋_GB2312"/>
                <w:color w:val="000000"/>
                <w:kern w:val="0"/>
              </w:rPr>
              <w:t>5</w:t>
            </w:r>
            <w:r>
              <w:rPr>
                <w:rFonts w:hint="eastAsia" w:ascii="仿宋_GB2312" w:hAnsi="新宋体" w:eastAsia="仿宋_GB2312" w:cs="仿宋_GB2312"/>
                <w:color w:val="000000"/>
                <w:kern w:val="0"/>
              </w:rPr>
              <w:t>分）</w:t>
            </w:r>
          </w:p>
        </w:tc>
        <w:tc>
          <w:tcPr>
            <w:tcW w:w="3975" w:type="dxa"/>
            <w:tcBorders>
              <w:left w:val="single" w:color="auto" w:sz="4" w:space="0"/>
              <w:right w:val="single" w:color="auto" w:sz="4" w:space="0"/>
            </w:tcBorders>
            <w:vAlign w:val="center"/>
          </w:tcPr>
          <w:p w14:paraId="3661BBC9">
            <w:pPr>
              <w:widowControl/>
              <w:spacing w:line="240" w:lineRule="exact"/>
              <w:textAlignment w:val="center"/>
              <w:rPr>
                <w:rFonts w:ascii="仿宋" w:hAnsi="仿宋" w:eastAsia="仿宋" w:cs="Times New Roman"/>
                <w:color w:val="000000"/>
                <w:kern w:val="0"/>
              </w:rPr>
            </w:pPr>
            <w:r>
              <w:rPr>
                <w:rFonts w:hint="eastAsia" w:ascii="仿宋" w:hAnsi="仿宋" w:eastAsia="仿宋" w:cs="仿宋"/>
                <w:color w:val="000000"/>
                <w:kern w:val="0"/>
              </w:rPr>
              <w:t>部门及所属二级单位履行职责对社会发展所带来的直接或间接影响。</w:t>
            </w:r>
          </w:p>
          <w:p w14:paraId="589B6566">
            <w:pPr>
              <w:widowControl/>
              <w:spacing w:line="240" w:lineRule="exact"/>
              <w:textAlignment w:val="center"/>
              <w:rPr>
                <w:rFonts w:ascii="仿宋" w:hAnsi="仿宋" w:eastAsia="仿宋" w:cs="Times New Roman"/>
                <w:color w:val="000000"/>
                <w:kern w:val="0"/>
              </w:rPr>
            </w:pPr>
            <w:r>
              <w:rPr>
                <w:rFonts w:hint="eastAsia" w:ascii="仿宋" w:hAnsi="仿宋" w:eastAsia="仿宋" w:cs="仿宋"/>
                <w:color w:val="000000"/>
                <w:kern w:val="0"/>
              </w:rPr>
              <w:t>评价要点：</w:t>
            </w:r>
            <w:r>
              <w:rPr>
                <w:rFonts w:ascii="仿宋" w:hAnsi="仿宋" w:eastAsia="仿宋" w:cs="Times New Roman"/>
                <w:color w:val="000000"/>
                <w:kern w:val="0"/>
              </w:rPr>
              <w:br w:type="textWrapping"/>
            </w:r>
            <w:r>
              <w:rPr>
                <w:rFonts w:ascii="仿宋" w:hAnsi="仿宋" w:eastAsia="仿宋" w:cs="仿宋"/>
                <w:color w:val="000000"/>
                <w:kern w:val="0"/>
              </w:rPr>
              <w:t>1.</w:t>
            </w:r>
            <w:r>
              <w:rPr>
                <w:rFonts w:hint="eastAsia" w:ascii="仿宋" w:hAnsi="仿宋" w:eastAsia="仿宋" w:cs="仿宋"/>
                <w:color w:val="000000"/>
                <w:kern w:val="0"/>
              </w:rPr>
              <w:t>通过部门所属企事业单位的改革，促进了企事业单位可持续发展，带动就业增长情况；</w:t>
            </w:r>
            <w:r>
              <w:rPr>
                <w:rFonts w:ascii="仿宋" w:hAnsi="仿宋" w:eastAsia="仿宋" w:cs="仿宋"/>
                <w:color w:val="000000"/>
                <w:kern w:val="0"/>
              </w:rPr>
              <w:t xml:space="preserve">          </w:t>
            </w:r>
            <w:r>
              <w:rPr>
                <w:rFonts w:ascii="仿宋" w:hAnsi="仿宋" w:eastAsia="仿宋" w:cs="仿宋"/>
                <w:color w:val="000000"/>
                <w:kern w:val="0"/>
              </w:rPr>
              <w:br w:type="textWrapping"/>
            </w:r>
            <w:r>
              <w:rPr>
                <w:rFonts w:ascii="仿宋" w:hAnsi="仿宋" w:eastAsia="仿宋" w:cs="仿宋"/>
                <w:color w:val="000000"/>
                <w:kern w:val="0"/>
              </w:rPr>
              <w:t>2.</w:t>
            </w:r>
            <w:r>
              <w:rPr>
                <w:rFonts w:hint="eastAsia" w:ascii="仿宋" w:hAnsi="仿宋" w:eastAsia="仿宋" w:cs="仿宋"/>
                <w:color w:val="000000"/>
                <w:kern w:val="0"/>
              </w:rPr>
              <w:t>通过预算支出项目的实施，是否明显促进了行业精神文明建设；</w:t>
            </w:r>
            <w:r>
              <w:rPr>
                <w:rFonts w:ascii="仿宋" w:hAnsi="仿宋" w:eastAsia="仿宋" w:cs="Times New Roman"/>
                <w:color w:val="000000"/>
                <w:kern w:val="0"/>
              </w:rPr>
              <w:br w:type="textWrapping"/>
            </w:r>
            <w:r>
              <w:rPr>
                <w:rFonts w:ascii="仿宋" w:hAnsi="仿宋" w:eastAsia="仿宋" w:cs="仿宋"/>
                <w:color w:val="000000"/>
                <w:kern w:val="0"/>
              </w:rPr>
              <w:t>3.</w:t>
            </w:r>
            <w:r>
              <w:rPr>
                <w:rFonts w:hint="eastAsia" w:ascii="仿宋" w:hAnsi="仿宋" w:eastAsia="仿宋" w:cs="仿宋"/>
                <w:color w:val="000000"/>
                <w:kern w:val="0"/>
              </w:rPr>
              <w:t>通过部门履职是否明显提高城乡居民生活水平，满足了人们日益增长的物质与文化生活需求；</w:t>
            </w:r>
            <w:r>
              <w:rPr>
                <w:rFonts w:ascii="仿宋" w:hAnsi="仿宋" w:eastAsia="仿宋" w:cs="Times New Roman"/>
                <w:color w:val="000000"/>
                <w:kern w:val="0"/>
              </w:rPr>
              <w:br w:type="textWrapping"/>
            </w:r>
            <w:r>
              <w:rPr>
                <w:rFonts w:ascii="仿宋" w:hAnsi="仿宋" w:eastAsia="仿宋" w:cs="仿宋"/>
                <w:color w:val="000000"/>
                <w:kern w:val="0"/>
              </w:rPr>
              <w:t>4.</w:t>
            </w:r>
            <w:r>
              <w:rPr>
                <w:rFonts w:hint="eastAsia" w:ascii="仿宋" w:hAnsi="仿宋" w:eastAsia="仿宋" w:cs="仿宋"/>
                <w:color w:val="000000"/>
                <w:kern w:val="0"/>
              </w:rPr>
              <w:t>通过预算项目的实施，是否提高了劳动生产率，降低了劳动强度，促进了劳动人民的身心健康；</w:t>
            </w:r>
            <w:r>
              <w:rPr>
                <w:rFonts w:ascii="仿宋" w:hAnsi="仿宋" w:eastAsia="仿宋" w:cs="Times New Roman"/>
                <w:color w:val="000000"/>
                <w:kern w:val="0"/>
              </w:rPr>
              <w:br w:type="textWrapping"/>
            </w:r>
            <w:r>
              <w:rPr>
                <w:rFonts w:ascii="仿宋" w:hAnsi="仿宋" w:eastAsia="仿宋" w:cs="仿宋"/>
                <w:color w:val="000000"/>
                <w:kern w:val="0"/>
              </w:rPr>
              <w:t>5.</w:t>
            </w:r>
            <w:r>
              <w:rPr>
                <w:rFonts w:hint="eastAsia" w:ascii="仿宋" w:hAnsi="仿宋" w:eastAsia="仿宋" w:cs="仿宋"/>
                <w:color w:val="000000"/>
                <w:kern w:val="0"/>
              </w:rPr>
              <w:t>通过部门履职行业形象是否得到了大大提升了，增强了部门影响力。</w:t>
            </w:r>
          </w:p>
        </w:tc>
        <w:tc>
          <w:tcPr>
            <w:tcW w:w="2550" w:type="dxa"/>
            <w:tcBorders>
              <w:left w:val="single" w:color="auto" w:sz="4" w:space="0"/>
              <w:right w:val="single" w:color="auto" w:sz="4" w:space="0"/>
            </w:tcBorders>
            <w:vAlign w:val="center"/>
          </w:tcPr>
          <w:p w14:paraId="10D48059">
            <w:pPr>
              <w:widowControl/>
              <w:spacing w:line="240" w:lineRule="exact"/>
              <w:textAlignment w:val="center"/>
              <w:rPr>
                <w:rFonts w:ascii="仿宋" w:hAnsi="仿宋" w:eastAsia="仿宋" w:cs="Times New Roman"/>
              </w:rPr>
            </w:pPr>
            <w:r>
              <w:rPr>
                <w:rFonts w:hint="eastAsia" w:ascii="仿宋" w:hAnsi="仿宋" w:eastAsia="仿宋" w:cs="仿宋"/>
                <w:color w:val="000000"/>
                <w:kern w:val="0"/>
              </w:rPr>
              <w:t>根据不同部门履职的内容和特点，具体测算部门履职产生的社会效益。</w:t>
            </w:r>
          </w:p>
        </w:tc>
        <w:tc>
          <w:tcPr>
            <w:tcW w:w="765" w:type="dxa"/>
            <w:tcBorders>
              <w:left w:val="single" w:color="auto" w:sz="4" w:space="0"/>
            </w:tcBorders>
            <w:vAlign w:val="center"/>
          </w:tcPr>
          <w:p w14:paraId="5D512714">
            <w:pPr>
              <w:widowControl/>
              <w:spacing w:line="240" w:lineRule="exact"/>
              <w:jc w:val="center"/>
            </w:pPr>
            <w:r>
              <w:t>5</w:t>
            </w:r>
          </w:p>
        </w:tc>
      </w:tr>
      <w:tr w14:paraId="127B9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95" w:type="dxa"/>
            <w:vMerge w:val="continue"/>
            <w:vAlign w:val="center"/>
          </w:tcPr>
          <w:p w14:paraId="6BE80F46">
            <w:pPr>
              <w:widowControl/>
              <w:spacing w:line="240" w:lineRule="exact"/>
              <w:jc w:val="left"/>
              <w:rPr>
                <w:rFonts w:ascii="仿宋_GB2312" w:hAnsi="新宋体" w:eastAsia="仿宋_GB2312" w:cs="Times New Roman"/>
                <w:kern w:val="0"/>
              </w:rPr>
            </w:pPr>
          </w:p>
        </w:tc>
        <w:tc>
          <w:tcPr>
            <w:tcW w:w="765" w:type="dxa"/>
            <w:vMerge w:val="continue"/>
            <w:vAlign w:val="center"/>
          </w:tcPr>
          <w:p w14:paraId="09D9AF8D">
            <w:pPr>
              <w:widowControl/>
              <w:spacing w:line="240" w:lineRule="exact"/>
              <w:jc w:val="left"/>
              <w:rPr>
                <w:rFonts w:ascii="仿宋_GB2312" w:hAnsi="新宋体" w:eastAsia="仿宋_GB2312" w:cs="Times New Roman"/>
                <w:kern w:val="0"/>
              </w:rPr>
            </w:pPr>
          </w:p>
        </w:tc>
        <w:tc>
          <w:tcPr>
            <w:tcW w:w="990" w:type="dxa"/>
            <w:tcBorders>
              <w:right w:val="single" w:color="auto" w:sz="4" w:space="0"/>
            </w:tcBorders>
            <w:vAlign w:val="center"/>
          </w:tcPr>
          <w:p w14:paraId="6B87DDB9">
            <w:pPr>
              <w:widowControl/>
              <w:spacing w:line="240" w:lineRule="exact"/>
              <w:jc w:val="left"/>
              <w:rPr>
                <w:rFonts w:ascii="仿宋_GB2312" w:hAnsi="新宋体" w:eastAsia="仿宋_GB2312" w:cs="Times New Roman"/>
                <w:color w:val="000000"/>
                <w:kern w:val="0"/>
              </w:rPr>
            </w:pPr>
            <w:r>
              <w:rPr>
                <w:rFonts w:hint="eastAsia" w:ascii="仿宋_GB2312" w:hAnsi="新宋体" w:eastAsia="仿宋_GB2312" w:cs="仿宋_GB2312"/>
                <w:color w:val="000000"/>
                <w:kern w:val="0"/>
              </w:rPr>
              <w:t>生态效益（</w:t>
            </w:r>
            <w:r>
              <w:rPr>
                <w:rFonts w:ascii="仿宋_GB2312" w:hAnsi="新宋体" w:eastAsia="仿宋_GB2312" w:cs="仿宋_GB2312"/>
                <w:color w:val="000000"/>
                <w:kern w:val="0"/>
              </w:rPr>
              <w:t>5</w:t>
            </w:r>
            <w:r>
              <w:rPr>
                <w:rFonts w:hint="eastAsia" w:ascii="仿宋_GB2312" w:hAnsi="新宋体" w:eastAsia="仿宋_GB2312" w:cs="仿宋_GB2312"/>
                <w:color w:val="000000"/>
                <w:kern w:val="0"/>
              </w:rPr>
              <w:t>分）</w:t>
            </w:r>
          </w:p>
        </w:tc>
        <w:tc>
          <w:tcPr>
            <w:tcW w:w="3975" w:type="dxa"/>
            <w:tcBorders>
              <w:left w:val="single" w:color="auto" w:sz="4" w:space="0"/>
              <w:right w:val="single" w:color="auto" w:sz="4" w:space="0"/>
            </w:tcBorders>
            <w:vAlign w:val="center"/>
          </w:tcPr>
          <w:p w14:paraId="779A63E0">
            <w:pPr>
              <w:widowControl/>
              <w:spacing w:line="240" w:lineRule="exact"/>
              <w:jc w:val="left"/>
              <w:textAlignment w:val="center"/>
              <w:rPr>
                <w:rFonts w:ascii="仿宋" w:hAnsi="仿宋" w:eastAsia="仿宋" w:cs="Times New Roman"/>
                <w:color w:val="000000"/>
                <w:kern w:val="0"/>
              </w:rPr>
            </w:pPr>
            <w:r>
              <w:rPr>
                <w:rFonts w:hint="eastAsia" w:ascii="仿宋" w:hAnsi="仿宋" w:eastAsia="仿宋" w:cs="仿宋"/>
                <w:color w:val="000000"/>
                <w:kern w:val="0"/>
              </w:rPr>
              <w:t>部门及所属二级单位履行职责对生态环境所带来的直接或间接影响。</w:t>
            </w:r>
          </w:p>
          <w:p w14:paraId="73BE53E1">
            <w:pPr>
              <w:widowControl/>
              <w:spacing w:line="240" w:lineRule="exact"/>
              <w:jc w:val="left"/>
              <w:textAlignment w:val="center"/>
              <w:rPr>
                <w:rFonts w:ascii="仿宋" w:hAnsi="仿宋" w:eastAsia="仿宋" w:cs="Times New Roman"/>
                <w:color w:val="000000"/>
                <w:kern w:val="0"/>
              </w:rPr>
            </w:pPr>
            <w:r>
              <w:rPr>
                <w:rFonts w:hint="eastAsia" w:ascii="仿宋" w:hAnsi="仿宋" w:eastAsia="仿宋" w:cs="仿宋"/>
                <w:color w:val="000000"/>
                <w:kern w:val="0"/>
              </w:rPr>
              <w:t>评价要点：</w:t>
            </w:r>
            <w:r>
              <w:rPr>
                <w:rFonts w:ascii="仿宋" w:hAnsi="仿宋" w:eastAsia="仿宋" w:cs="Times New Roman"/>
                <w:color w:val="000000"/>
                <w:kern w:val="0"/>
              </w:rPr>
              <w:br w:type="textWrapping"/>
            </w:r>
            <w:r>
              <w:rPr>
                <w:rFonts w:ascii="仿宋" w:hAnsi="仿宋" w:eastAsia="仿宋" w:cs="仿宋"/>
                <w:color w:val="000000"/>
                <w:kern w:val="0"/>
              </w:rPr>
              <w:t>1.</w:t>
            </w:r>
            <w:r>
              <w:rPr>
                <w:rFonts w:hint="eastAsia" w:ascii="仿宋" w:hAnsi="仿宋" w:eastAsia="仿宋" w:cs="仿宋"/>
                <w:color w:val="000000"/>
                <w:kern w:val="0"/>
              </w:rPr>
              <w:t>通过预算支出项目的实施，绿色、节能环保新技术的应用和推广，明显带动各环节的节能减排，也具有一定的环境效益；</w:t>
            </w:r>
            <w:r>
              <w:rPr>
                <w:rFonts w:ascii="仿宋" w:hAnsi="仿宋" w:eastAsia="仿宋" w:cs="Times New Roman"/>
                <w:color w:val="000000"/>
                <w:kern w:val="0"/>
              </w:rPr>
              <w:br w:type="textWrapping"/>
            </w:r>
            <w:r>
              <w:rPr>
                <w:rFonts w:ascii="仿宋" w:hAnsi="仿宋" w:eastAsia="仿宋" w:cs="仿宋"/>
                <w:color w:val="000000"/>
                <w:kern w:val="0"/>
              </w:rPr>
              <w:t>2.</w:t>
            </w:r>
            <w:r>
              <w:rPr>
                <w:rFonts w:hint="eastAsia" w:ascii="仿宋" w:hAnsi="仿宋" w:eastAsia="仿宋" w:cs="仿宋"/>
                <w:color w:val="000000"/>
                <w:kern w:val="0"/>
              </w:rPr>
              <w:t>通过履职有效地控制虚假、伪劣、霉变等劣质产品进入市场，影响了人民生活质量，净化地市场环境；</w:t>
            </w:r>
            <w:r>
              <w:rPr>
                <w:rFonts w:ascii="仿宋" w:hAnsi="仿宋" w:eastAsia="仿宋" w:cs="Times New Roman"/>
                <w:color w:val="000000"/>
                <w:kern w:val="0"/>
              </w:rPr>
              <w:br w:type="textWrapping"/>
            </w:r>
            <w:r>
              <w:rPr>
                <w:rFonts w:ascii="仿宋" w:hAnsi="仿宋" w:eastAsia="仿宋" w:cs="仿宋"/>
                <w:color w:val="000000"/>
                <w:kern w:val="0"/>
              </w:rPr>
              <w:t>3.</w:t>
            </w:r>
            <w:r>
              <w:rPr>
                <w:rFonts w:hint="eastAsia" w:ascii="仿宋" w:hAnsi="仿宋" w:eastAsia="仿宋" w:cs="仿宋"/>
                <w:color w:val="000000"/>
                <w:kern w:val="0"/>
              </w:rPr>
              <w:t>通过预算支出项目的实施，是否达到减少污染物排放；</w:t>
            </w:r>
            <w:r>
              <w:rPr>
                <w:rFonts w:ascii="仿宋" w:hAnsi="仿宋" w:eastAsia="仿宋" w:cs="Times New Roman"/>
                <w:color w:val="000000"/>
                <w:kern w:val="0"/>
              </w:rPr>
              <w:br w:type="textWrapping"/>
            </w:r>
            <w:r>
              <w:rPr>
                <w:rFonts w:ascii="仿宋" w:hAnsi="仿宋" w:eastAsia="仿宋" w:cs="仿宋"/>
                <w:color w:val="000000"/>
                <w:kern w:val="0"/>
              </w:rPr>
              <w:t>4.</w:t>
            </w:r>
            <w:r>
              <w:rPr>
                <w:rFonts w:hint="eastAsia" w:ascii="仿宋" w:hAnsi="仿宋" w:eastAsia="仿宋" w:cs="仿宋"/>
                <w:color w:val="000000"/>
                <w:kern w:val="0"/>
              </w:rPr>
              <w:t>通过预算支出项目的实施，周围环境得到了整治，面貌得到了改善。</w:t>
            </w:r>
          </w:p>
        </w:tc>
        <w:tc>
          <w:tcPr>
            <w:tcW w:w="2550" w:type="dxa"/>
            <w:tcBorders>
              <w:left w:val="single" w:color="auto" w:sz="4" w:space="0"/>
              <w:right w:val="single" w:color="auto" w:sz="4" w:space="0"/>
            </w:tcBorders>
            <w:vAlign w:val="center"/>
          </w:tcPr>
          <w:p w14:paraId="0F798E0D">
            <w:pPr>
              <w:widowControl/>
              <w:spacing w:line="240" w:lineRule="exact"/>
              <w:jc w:val="left"/>
              <w:textAlignment w:val="center"/>
              <w:rPr>
                <w:rFonts w:cs="Times New Roman"/>
              </w:rPr>
            </w:pPr>
            <w:r>
              <w:rPr>
                <w:rFonts w:hint="eastAsia" w:ascii="仿宋" w:hAnsi="仿宋" w:eastAsia="仿宋" w:cs="仿宋"/>
                <w:color w:val="000000"/>
                <w:kern w:val="0"/>
              </w:rPr>
              <w:t>根据不同部门履职的内容和特点，具体测算部门履职产生的生态效益。</w:t>
            </w:r>
          </w:p>
        </w:tc>
        <w:tc>
          <w:tcPr>
            <w:tcW w:w="765" w:type="dxa"/>
            <w:tcBorders>
              <w:left w:val="single" w:color="auto" w:sz="4" w:space="0"/>
            </w:tcBorders>
            <w:vAlign w:val="center"/>
          </w:tcPr>
          <w:p w14:paraId="619AC4AD">
            <w:pPr>
              <w:widowControl/>
              <w:spacing w:line="240" w:lineRule="exact"/>
              <w:jc w:val="center"/>
            </w:pPr>
            <w:r>
              <w:t>5</w:t>
            </w:r>
          </w:p>
        </w:tc>
      </w:tr>
      <w:tr w14:paraId="1966A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95" w:type="dxa"/>
            <w:vMerge w:val="continue"/>
            <w:vAlign w:val="center"/>
          </w:tcPr>
          <w:p w14:paraId="6427522E">
            <w:pPr>
              <w:spacing w:line="240" w:lineRule="exact"/>
              <w:rPr>
                <w:rFonts w:ascii="宋体" w:cs="Times New Roman"/>
              </w:rPr>
            </w:pPr>
          </w:p>
        </w:tc>
        <w:tc>
          <w:tcPr>
            <w:tcW w:w="765" w:type="dxa"/>
            <w:vMerge w:val="continue"/>
            <w:tcBorders>
              <w:bottom w:val="single" w:color="auto" w:sz="4" w:space="0"/>
            </w:tcBorders>
            <w:vAlign w:val="center"/>
          </w:tcPr>
          <w:p w14:paraId="480F8303">
            <w:pPr>
              <w:widowControl/>
              <w:spacing w:line="240" w:lineRule="exact"/>
              <w:jc w:val="left"/>
              <w:rPr>
                <w:rFonts w:cs="Times New Roman"/>
              </w:rPr>
            </w:pPr>
          </w:p>
        </w:tc>
        <w:tc>
          <w:tcPr>
            <w:tcW w:w="990" w:type="dxa"/>
            <w:tcBorders>
              <w:right w:val="single" w:color="auto" w:sz="4" w:space="0"/>
            </w:tcBorders>
            <w:vAlign w:val="center"/>
          </w:tcPr>
          <w:p w14:paraId="58129040">
            <w:pPr>
              <w:widowControl/>
              <w:spacing w:line="240" w:lineRule="exact"/>
              <w:jc w:val="left"/>
              <w:rPr>
                <w:rFonts w:cs="Times New Roman"/>
              </w:rPr>
            </w:pPr>
            <w:r>
              <w:rPr>
                <w:rFonts w:hint="eastAsia" w:ascii="仿宋_GB2312" w:hAnsi="新宋体" w:eastAsia="仿宋_GB2312" w:cs="仿宋_GB2312"/>
                <w:kern w:val="0"/>
              </w:rPr>
              <w:t>服务对象满意度（</w:t>
            </w:r>
            <w:r>
              <w:rPr>
                <w:rFonts w:ascii="仿宋_GB2312" w:hAnsi="新宋体" w:eastAsia="仿宋_GB2312" w:cs="仿宋_GB2312"/>
                <w:kern w:val="0"/>
              </w:rPr>
              <w:t>5</w:t>
            </w:r>
            <w:r>
              <w:rPr>
                <w:rFonts w:hint="eastAsia" w:ascii="仿宋_GB2312" w:hAnsi="新宋体" w:eastAsia="仿宋_GB2312" w:cs="仿宋_GB2312"/>
                <w:kern w:val="0"/>
              </w:rPr>
              <w:t>）</w:t>
            </w:r>
          </w:p>
        </w:tc>
        <w:tc>
          <w:tcPr>
            <w:tcW w:w="3975" w:type="dxa"/>
            <w:tcBorders>
              <w:left w:val="single" w:color="auto" w:sz="4" w:space="0"/>
              <w:right w:val="single" w:color="auto" w:sz="4" w:space="0"/>
            </w:tcBorders>
            <w:vAlign w:val="center"/>
          </w:tcPr>
          <w:p w14:paraId="45C4E2E6">
            <w:pPr>
              <w:widowControl/>
              <w:spacing w:line="240" w:lineRule="exact"/>
              <w:jc w:val="left"/>
              <w:rPr>
                <w:rFonts w:cs="Times New Roman"/>
              </w:rPr>
            </w:pPr>
            <w:r>
              <w:rPr>
                <w:rFonts w:hint="eastAsia" w:ascii="仿宋_GB2312" w:hAnsi="新宋体" w:eastAsia="仿宋_GB2312" w:cs="仿宋_GB2312"/>
                <w:kern w:val="0"/>
              </w:rPr>
              <w:t>通过对部门（单位）的服务对象对部门履职效果的满意程度调查，反映和考核社会公众或服务对象对部门履职的满意度。</w:t>
            </w:r>
          </w:p>
        </w:tc>
        <w:tc>
          <w:tcPr>
            <w:tcW w:w="2550" w:type="dxa"/>
            <w:tcBorders>
              <w:left w:val="single" w:color="auto" w:sz="4" w:space="0"/>
              <w:right w:val="single" w:color="auto" w:sz="4" w:space="0"/>
            </w:tcBorders>
            <w:vAlign w:val="center"/>
          </w:tcPr>
          <w:p w14:paraId="56F2318C">
            <w:pPr>
              <w:widowControl/>
              <w:spacing w:line="240" w:lineRule="exact"/>
              <w:rPr>
                <w:rFonts w:ascii="仿宋" w:hAnsi="仿宋" w:eastAsia="仿宋" w:cs="Times New Roman"/>
                <w:kern w:val="0"/>
              </w:rPr>
            </w:pPr>
            <w:r>
              <w:rPr>
                <w:rFonts w:hint="eastAsia" w:ascii="仿宋" w:hAnsi="仿宋" w:eastAsia="仿宋" w:cs="仿宋"/>
                <w:kern w:val="0"/>
              </w:rPr>
              <w:t>按照满意度调查的优秀、良好、合格、不合格给予该项指标打分：</w:t>
            </w:r>
          </w:p>
          <w:p w14:paraId="41C4AB28">
            <w:pPr>
              <w:widowControl/>
              <w:spacing w:line="240" w:lineRule="exact"/>
              <w:rPr>
                <w:rFonts w:cs="Times New Roman"/>
              </w:rPr>
            </w:pPr>
            <w:r>
              <w:rPr>
                <w:rFonts w:hint="eastAsia" w:ascii="仿宋" w:hAnsi="仿宋" w:eastAsia="仿宋" w:cs="仿宋"/>
                <w:kern w:val="0"/>
              </w:rPr>
              <w:t>优秀（</w:t>
            </w:r>
            <w:r>
              <w:rPr>
                <w:rFonts w:ascii="仿宋" w:hAnsi="仿宋" w:eastAsia="仿宋" w:cs="仿宋"/>
                <w:kern w:val="0"/>
              </w:rPr>
              <w:t>5</w:t>
            </w:r>
            <w:r>
              <w:rPr>
                <w:rFonts w:hint="eastAsia" w:ascii="仿宋" w:hAnsi="仿宋" w:eastAsia="仿宋" w:cs="仿宋"/>
                <w:kern w:val="0"/>
              </w:rPr>
              <w:t>）；良好（</w:t>
            </w:r>
            <w:r>
              <w:rPr>
                <w:rFonts w:ascii="仿宋" w:hAnsi="仿宋" w:eastAsia="仿宋" w:cs="仿宋"/>
                <w:kern w:val="0"/>
              </w:rPr>
              <w:t>3</w:t>
            </w:r>
            <w:r>
              <w:rPr>
                <w:rFonts w:hint="eastAsia" w:ascii="仿宋" w:hAnsi="仿宋" w:eastAsia="仿宋" w:cs="仿宋"/>
                <w:kern w:val="0"/>
              </w:rPr>
              <w:t>）；合格（</w:t>
            </w:r>
            <w:r>
              <w:rPr>
                <w:rFonts w:ascii="仿宋" w:hAnsi="仿宋" w:eastAsia="仿宋" w:cs="仿宋"/>
                <w:kern w:val="0"/>
              </w:rPr>
              <w:t>1</w:t>
            </w:r>
            <w:r>
              <w:rPr>
                <w:rFonts w:hint="eastAsia" w:ascii="仿宋" w:hAnsi="仿宋" w:eastAsia="仿宋" w:cs="仿宋"/>
                <w:kern w:val="0"/>
              </w:rPr>
              <w:t>）；不合格（</w:t>
            </w:r>
            <w:r>
              <w:rPr>
                <w:rFonts w:ascii="仿宋" w:hAnsi="仿宋" w:eastAsia="仿宋" w:cs="仿宋"/>
                <w:kern w:val="0"/>
              </w:rPr>
              <w:t>0</w:t>
            </w:r>
            <w:r>
              <w:rPr>
                <w:rFonts w:hint="eastAsia" w:ascii="仿宋" w:hAnsi="仿宋" w:eastAsia="仿宋" w:cs="仿宋"/>
                <w:kern w:val="0"/>
              </w:rPr>
              <w:t>）。</w:t>
            </w:r>
          </w:p>
        </w:tc>
        <w:tc>
          <w:tcPr>
            <w:tcW w:w="765" w:type="dxa"/>
            <w:tcBorders>
              <w:left w:val="single" w:color="auto" w:sz="4" w:space="0"/>
            </w:tcBorders>
            <w:vAlign w:val="center"/>
          </w:tcPr>
          <w:p w14:paraId="7C3F3B06">
            <w:pPr>
              <w:widowControl/>
              <w:spacing w:line="240" w:lineRule="exact"/>
              <w:jc w:val="center"/>
            </w:pPr>
            <w:r>
              <w:t>5</w:t>
            </w:r>
          </w:p>
        </w:tc>
      </w:tr>
    </w:tbl>
    <w:p w14:paraId="0494BBCF">
      <w:pPr>
        <w:spacing w:line="240" w:lineRule="exact"/>
        <w:rPr>
          <w:rFonts w:ascii="仿宋" w:hAnsi="仿宋" w:eastAsia="仿宋" w:cs="Times New Roman"/>
          <w:sz w:val="32"/>
          <w:szCs w:val="32"/>
        </w:rPr>
      </w:pPr>
    </w:p>
    <w:p w14:paraId="52872C9E">
      <w:pPr>
        <w:spacing w:line="240" w:lineRule="exact"/>
        <w:rPr>
          <w:rFonts w:ascii="仿宋" w:hAnsi="仿宋" w:eastAsia="仿宋" w:cs="Times New Roman"/>
          <w:sz w:val="32"/>
          <w:szCs w:val="32"/>
        </w:rPr>
      </w:pPr>
    </w:p>
    <w:p w14:paraId="4EF075A9">
      <w:pPr>
        <w:rPr>
          <w:rFonts w:ascii="仿宋" w:hAnsi="仿宋" w:eastAsia="仿宋" w:cs="Times New Roman"/>
          <w:sz w:val="32"/>
          <w:szCs w:val="32"/>
        </w:rPr>
      </w:pPr>
    </w:p>
    <w:sectPr>
      <w:footerReference r:id="rId3" w:type="default"/>
      <w:pgSz w:w="11906" w:h="16838"/>
      <w:pgMar w:top="1701" w:right="1418" w:bottom="1701" w:left="1418" w:header="851" w:footer="1701" w:gutter="0"/>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2CB3E">
    <w:pPr>
      <w:pStyle w:val="5"/>
      <w:framePr w:wrap="auto" w:vAnchor="text" w:hAnchor="margin" w:xAlign="outside" w:y="1"/>
      <w:rPr>
        <w:rStyle w:val="11"/>
        <w:rFonts w:ascii="宋体" w:cs="宋体"/>
        <w:sz w:val="28"/>
        <w:szCs w:val="28"/>
      </w:rPr>
    </w:pPr>
    <w:r>
      <w:rPr>
        <w:rStyle w:val="11"/>
        <w:rFonts w:ascii="宋体" w:cs="宋体"/>
        <w:sz w:val="28"/>
        <w:szCs w:val="28"/>
      </w:rPr>
      <w:t>-</w:t>
    </w:r>
    <w:r>
      <w:rPr>
        <w:rStyle w:val="11"/>
        <w:rFonts w:ascii="宋体" w:hAnsi="宋体" w:cs="宋体"/>
        <w:sz w:val="28"/>
        <w:szCs w:val="28"/>
      </w:rPr>
      <w:fldChar w:fldCharType="begin"/>
    </w:r>
    <w:r>
      <w:rPr>
        <w:rStyle w:val="11"/>
        <w:rFonts w:ascii="宋体" w:hAnsi="宋体" w:cs="宋体"/>
        <w:sz w:val="28"/>
        <w:szCs w:val="28"/>
      </w:rPr>
      <w:instrText xml:space="preserve">PAGE  </w:instrText>
    </w:r>
    <w:r>
      <w:rPr>
        <w:rStyle w:val="11"/>
        <w:rFonts w:ascii="宋体" w:hAnsi="宋体" w:cs="宋体"/>
        <w:sz w:val="28"/>
        <w:szCs w:val="28"/>
      </w:rPr>
      <w:fldChar w:fldCharType="separate"/>
    </w:r>
    <w:r>
      <w:rPr>
        <w:rStyle w:val="11"/>
        <w:rFonts w:ascii="宋体" w:hAnsi="宋体" w:cs="宋体"/>
        <w:sz w:val="28"/>
        <w:szCs w:val="28"/>
      </w:rPr>
      <w:t>2</w:t>
    </w:r>
    <w:r>
      <w:rPr>
        <w:rStyle w:val="11"/>
        <w:rFonts w:ascii="宋体" w:hAnsi="宋体" w:cs="宋体"/>
        <w:sz w:val="28"/>
        <w:szCs w:val="28"/>
      </w:rPr>
      <w:fldChar w:fldCharType="end"/>
    </w:r>
    <w:r>
      <w:rPr>
        <w:rStyle w:val="11"/>
        <w:rFonts w:ascii="宋体" w:cs="宋体"/>
        <w:sz w:val="28"/>
        <w:szCs w:val="28"/>
      </w:rPr>
      <w:t>-</w:t>
    </w:r>
  </w:p>
  <w:p w14:paraId="12E6D3F1">
    <w:pPr>
      <w:pStyle w:val="5"/>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oNotHyphenateCaps/>
  <w:drawingGridHorizontalSpacing w:val="105"/>
  <w:drawingGridVerticalSpacing w:val="313"/>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933"/>
    <w:rsid w:val="00002F2C"/>
    <w:rsid w:val="000070A8"/>
    <w:rsid w:val="00016CA4"/>
    <w:rsid w:val="000324AE"/>
    <w:rsid w:val="00042933"/>
    <w:rsid w:val="0008033E"/>
    <w:rsid w:val="0008759D"/>
    <w:rsid w:val="00094F2B"/>
    <w:rsid w:val="000B0A83"/>
    <w:rsid w:val="000B6322"/>
    <w:rsid w:val="000C2CC1"/>
    <w:rsid w:val="000E4A5A"/>
    <w:rsid w:val="00103547"/>
    <w:rsid w:val="0017068B"/>
    <w:rsid w:val="00185A3C"/>
    <w:rsid w:val="00192D5A"/>
    <w:rsid w:val="001C59B3"/>
    <w:rsid w:val="001E0886"/>
    <w:rsid w:val="001F7E31"/>
    <w:rsid w:val="002071BC"/>
    <w:rsid w:val="00211487"/>
    <w:rsid w:val="00225AE6"/>
    <w:rsid w:val="00235F0F"/>
    <w:rsid w:val="00255783"/>
    <w:rsid w:val="002563F9"/>
    <w:rsid w:val="00290BA1"/>
    <w:rsid w:val="002A6AEA"/>
    <w:rsid w:val="002F2268"/>
    <w:rsid w:val="003C50C2"/>
    <w:rsid w:val="0041099F"/>
    <w:rsid w:val="00436A1D"/>
    <w:rsid w:val="004379D7"/>
    <w:rsid w:val="004755B3"/>
    <w:rsid w:val="004A68B1"/>
    <w:rsid w:val="004B336F"/>
    <w:rsid w:val="004B64F3"/>
    <w:rsid w:val="004E3B64"/>
    <w:rsid w:val="005020C5"/>
    <w:rsid w:val="00567FE6"/>
    <w:rsid w:val="0058162A"/>
    <w:rsid w:val="005B3616"/>
    <w:rsid w:val="005E12FA"/>
    <w:rsid w:val="005F1122"/>
    <w:rsid w:val="00683167"/>
    <w:rsid w:val="006A5056"/>
    <w:rsid w:val="006E64C9"/>
    <w:rsid w:val="007048FF"/>
    <w:rsid w:val="00712100"/>
    <w:rsid w:val="0071700D"/>
    <w:rsid w:val="00742652"/>
    <w:rsid w:val="00772600"/>
    <w:rsid w:val="007D5D41"/>
    <w:rsid w:val="007F01F9"/>
    <w:rsid w:val="00856BA1"/>
    <w:rsid w:val="00867620"/>
    <w:rsid w:val="008709E0"/>
    <w:rsid w:val="008A26A1"/>
    <w:rsid w:val="008A6A10"/>
    <w:rsid w:val="008A6A31"/>
    <w:rsid w:val="00904AF4"/>
    <w:rsid w:val="00905542"/>
    <w:rsid w:val="00913ECC"/>
    <w:rsid w:val="00917700"/>
    <w:rsid w:val="00956F74"/>
    <w:rsid w:val="009B0B5F"/>
    <w:rsid w:val="009C04DA"/>
    <w:rsid w:val="009C4C62"/>
    <w:rsid w:val="009C7DE6"/>
    <w:rsid w:val="009E3627"/>
    <w:rsid w:val="009F53E7"/>
    <w:rsid w:val="00A11BF8"/>
    <w:rsid w:val="00A14A33"/>
    <w:rsid w:val="00A6449D"/>
    <w:rsid w:val="00A768DB"/>
    <w:rsid w:val="00AA09C8"/>
    <w:rsid w:val="00AD5F30"/>
    <w:rsid w:val="00B0681D"/>
    <w:rsid w:val="00B32FBD"/>
    <w:rsid w:val="00B9023F"/>
    <w:rsid w:val="00B970E8"/>
    <w:rsid w:val="00BC1FDC"/>
    <w:rsid w:val="00BD0FD8"/>
    <w:rsid w:val="00C44804"/>
    <w:rsid w:val="00C6362A"/>
    <w:rsid w:val="00C81363"/>
    <w:rsid w:val="00CB27A5"/>
    <w:rsid w:val="00CD55ED"/>
    <w:rsid w:val="00CD63C0"/>
    <w:rsid w:val="00CE62A0"/>
    <w:rsid w:val="00D21F0C"/>
    <w:rsid w:val="00D366C1"/>
    <w:rsid w:val="00D877F7"/>
    <w:rsid w:val="00DB2D43"/>
    <w:rsid w:val="00DC15FF"/>
    <w:rsid w:val="00E266F1"/>
    <w:rsid w:val="00EB16A8"/>
    <w:rsid w:val="00EC7904"/>
    <w:rsid w:val="00ED69C1"/>
    <w:rsid w:val="00F72E93"/>
    <w:rsid w:val="00F87A11"/>
    <w:rsid w:val="00FB7E01"/>
    <w:rsid w:val="00FE5F4C"/>
    <w:rsid w:val="00FF39F6"/>
    <w:rsid w:val="05374814"/>
    <w:rsid w:val="0F8F6BFC"/>
    <w:rsid w:val="1A680839"/>
    <w:rsid w:val="25463C46"/>
    <w:rsid w:val="25A21129"/>
    <w:rsid w:val="33734144"/>
    <w:rsid w:val="35A364F8"/>
    <w:rsid w:val="3791647A"/>
    <w:rsid w:val="39066D72"/>
    <w:rsid w:val="3D4F4825"/>
    <w:rsid w:val="455969D8"/>
    <w:rsid w:val="4B04639A"/>
    <w:rsid w:val="526A3656"/>
    <w:rsid w:val="586F47DB"/>
    <w:rsid w:val="5D643D56"/>
    <w:rsid w:val="654D6C3E"/>
    <w:rsid w:val="69BD0A47"/>
    <w:rsid w:val="71A911C9"/>
    <w:rsid w:val="7CCC213E"/>
    <w:rsid w:val="7F4A402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2"/>
    <w:qFormat/>
    <w:uiPriority w:val="99"/>
    <w:pPr>
      <w:spacing w:before="100" w:beforeAutospacing="1" w:after="100" w:afterAutospacing="1"/>
      <w:jc w:val="left"/>
      <w:outlineLvl w:val="0"/>
    </w:pPr>
    <w:rPr>
      <w:rFonts w:ascii="宋体" w:hAnsi="宋体" w:cs="宋体"/>
      <w:b/>
      <w:bCs/>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qFormat/>
    <w:uiPriority w:val="99"/>
    <w:pPr>
      <w:autoSpaceDE w:val="0"/>
      <w:autoSpaceDN w:val="0"/>
      <w:adjustRightInd w:val="0"/>
      <w:snapToGrid w:val="0"/>
      <w:spacing w:line="588" w:lineRule="atLeast"/>
    </w:pPr>
    <w:rPr>
      <w:rFonts w:ascii="宋体" w:hAnsi="宋体" w:eastAsia="仿宋_GB2312" w:cs="宋体"/>
      <w:spacing w:val="-2"/>
      <w:sz w:val="32"/>
      <w:szCs w:val="32"/>
    </w:rPr>
  </w:style>
  <w:style w:type="paragraph" w:styleId="4">
    <w:name w:val="Plain Text"/>
    <w:basedOn w:val="1"/>
    <w:link w:val="14"/>
    <w:qFormat/>
    <w:uiPriority w:val="99"/>
    <w:rPr>
      <w:rFonts w:ascii="宋体" w:hAnsi="Courier New" w:cs="宋体"/>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99"/>
    <w:rPr>
      <w:b/>
      <w:bCs/>
    </w:rPr>
  </w:style>
  <w:style w:type="character" w:styleId="11">
    <w:name w:val="page number"/>
    <w:basedOn w:val="9"/>
    <w:semiHidden/>
    <w:qFormat/>
    <w:uiPriority w:val="99"/>
  </w:style>
  <w:style w:type="character" w:customStyle="1" w:styleId="12">
    <w:name w:val="标题 1 字符"/>
    <w:basedOn w:val="9"/>
    <w:link w:val="2"/>
    <w:qFormat/>
    <w:locked/>
    <w:uiPriority w:val="99"/>
    <w:rPr>
      <w:rFonts w:ascii="宋体" w:hAnsi="宋体" w:eastAsia="宋体" w:cs="宋体"/>
      <w:b/>
      <w:bCs/>
      <w:kern w:val="44"/>
      <w:sz w:val="48"/>
      <w:szCs w:val="48"/>
    </w:rPr>
  </w:style>
  <w:style w:type="character" w:customStyle="1" w:styleId="13">
    <w:name w:val="正文文本 字符"/>
    <w:basedOn w:val="9"/>
    <w:link w:val="3"/>
    <w:semiHidden/>
    <w:qFormat/>
    <w:uiPriority w:val="99"/>
    <w:rPr>
      <w:rFonts w:ascii="Calibri" w:hAnsi="Calibri" w:cs="Calibri"/>
      <w:szCs w:val="21"/>
    </w:rPr>
  </w:style>
  <w:style w:type="character" w:customStyle="1" w:styleId="14">
    <w:name w:val="纯文本 字符"/>
    <w:basedOn w:val="9"/>
    <w:link w:val="4"/>
    <w:qFormat/>
    <w:locked/>
    <w:uiPriority w:val="99"/>
    <w:rPr>
      <w:rFonts w:ascii="宋体" w:hAnsi="Courier New" w:eastAsia="宋体" w:cs="宋体"/>
      <w:sz w:val="21"/>
      <w:szCs w:val="21"/>
    </w:rPr>
  </w:style>
  <w:style w:type="character" w:customStyle="1" w:styleId="15">
    <w:name w:val="页脚 字符"/>
    <w:basedOn w:val="9"/>
    <w:link w:val="5"/>
    <w:qFormat/>
    <w:locked/>
    <w:uiPriority w:val="99"/>
    <w:rPr>
      <w:sz w:val="18"/>
      <w:szCs w:val="18"/>
    </w:rPr>
  </w:style>
  <w:style w:type="character" w:customStyle="1" w:styleId="16">
    <w:name w:val="页眉 字符"/>
    <w:basedOn w:val="9"/>
    <w:link w:val="6"/>
    <w:qFormat/>
    <w:locked/>
    <w:uiPriority w:val="99"/>
    <w:rPr>
      <w:sz w:val="18"/>
      <w:szCs w:val="18"/>
    </w:rPr>
  </w:style>
  <w:style w:type="character" w:customStyle="1" w:styleId="17">
    <w:name w:val="font31"/>
    <w:basedOn w:val="9"/>
    <w:qFormat/>
    <w:uiPriority w:val="99"/>
    <w:rPr>
      <w:rFonts w:ascii="宋体" w:hAnsi="宋体" w:eastAsia="宋体" w:cs="宋体"/>
      <w:b/>
      <w:bCs/>
      <w:color w:val="000000"/>
      <w:sz w:val="36"/>
      <w:szCs w:val="3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4705</Words>
  <Characters>5022</Characters>
  <Lines>37</Lines>
  <Paragraphs>10</Paragraphs>
  <TotalTime>6</TotalTime>
  <ScaleCrop>false</ScaleCrop>
  <LinksUpToDate>false</LinksUpToDate>
  <CharactersWithSpaces>5055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2021-05-18T01:37:00Z</dcterms:created>
  <dc:creator>Administrator</dc:creator>
  <cp:lastModifiedBy>早开的晚霞。</cp:lastModifiedBy>
  <cp:lastPrinted>2020-04-22T08:40:00Z</cp:lastPrinted>
  <dcterms:modified xsi:type="dcterms:W3CDTF">2025-02-26T12:06:18Z</dcterms:modified>
  <dc:title>部门整体支出绩效评价指标体系评分表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C11CF5792F734C98AE11BFB12097788E</vt:lpwstr>
  </property>
  <property fmtid="{D5CDD505-2E9C-101B-9397-08002B2CF9AE}" pid="4" name="KSOTemplateDocerSaveRecord">
    <vt:lpwstr>eyJoZGlkIjoiM2NlMTgyOGNjMDcxMDExZTMzODViNzVhZTEyY2YxYjkiLCJ1c2VySWQiOiI2NDU1NzE2NTcifQ==</vt:lpwstr>
  </property>
</Properties>
</file>