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B7A19">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480" w:lineRule="auto"/>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t>中国人民政治协商会议沙河市委员会</w:t>
      </w:r>
    </w:p>
    <w:p w14:paraId="4BF51C95">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480" w:lineRule="auto"/>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t>2019年部门整体支出绩效自评报告</w:t>
      </w:r>
    </w:p>
    <w:p w14:paraId="58C1F8D8">
      <w:pPr>
        <w:pStyle w:val="4"/>
        <w:widowControl/>
        <w:pBdr>
          <w:top w:val="none" w:color="auto" w:sz="0" w:space="0"/>
          <w:left w:val="none" w:color="auto" w:sz="0" w:space="0"/>
          <w:bottom w:val="none" w:color="auto" w:sz="0" w:space="0"/>
          <w:right w:val="none" w:color="auto" w:sz="0" w:space="0"/>
        </w:pBdr>
        <w:wordWrap/>
        <w:snapToGrid/>
        <w:spacing w:before="0" w:beforeAutospacing="0" w:after="0" w:afterAutospacing="0" w:line="360" w:lineRule="auto"/>
        <w:ind w:right="0" w:firstLine="560" w:firstLineChars="200"/>
        <w:jc w:val="left"/>
        <w:textAlignment w:val="auto"/>
        <w:rPr>
          <w:rFonts w:hint="eastAsia" w:ascii="宋体" w:hAnsi="宋体" w:eastAsia="宋体" w:cs="宋体"/>
          <w:i w:val="0"/>
          <w:caps w:val="0"/>
          <w:color w:val="000000"/>
          <w:spacing w:val="0"/>
          <w:sz w:val="28"/>
          <w:szCs w:val="28"/>
          <w:shd w:val="clear" w:color="070000" w:fill="FFFFFF"/>
        </w:rPr>
      </w:pPr>
    </w:p>
    <w:p w14:paraId="7E2FAE80">
      <w:pPr>
        <w:pStyle w:val="4"/>
        <w:widowControl/>
        <w:pBdr>
          <w:top w:val="none" w:color="auto" w:sz="0" w:space="0"/>
          <w:left w:val="none" w:color="auto" w:sz="0" w:space="0"/>
          <w:bottom w:val="none" w:color="auto" w:sz="0" w:space="0"/>
          <w:right w:val="none" w:color="auto" w:sz="0" w:space="0"/>
        </w:pBdr>
        <w:wordWrap/>
        <w:snapToGrid/>
        <w:spacing w:before="0" w:beforeAutospacing="0" w:after="0" w:afterAutospacing="0" w:line="360" w:lineRule="auto"/>
        <w:ind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sz w:val="28"/>
          <w:szCs w:val="28"/>
          <w:shd w:val="clear" w:color="070000" w:fill="FFFFFF"/>
        </w:rPr>
        <w:t>根据《</w:t>
      </w:r>
      <w:r>
        <w:rPr>
          <w:rFonts w:hint="eastAsia" w:ascii="宋体" w:hAnsi="宋体" w:eastAsia="宋体" w:cs="宋体"/>
          <w:i w:val="0"/>
          <w:caps w:val="0"/>
          <w:color w:val="000000"/>
          <w:spacing w:val="0"/>
          <w:sz w:val="28"/>
          <w:szCs w:val="28"/>
          <w:shd w:val="clear" w:color="070000" w:fill="FFFFFF"/>
          <w:lang w:eastAsia="zh-CN"/>
        </w:rPr>
        <w:t>中华人民共和国预算法》和中共邢台市委、邢台市人民政府《关于全面落实预算绩效管理的实施意见》》（邢发</w:t>
      </w:r>
      <w:r>
        <w:rPr>
          <w:rFonts w:hint="eastAsia" w:ascii="宋体" w:hAnsi="宋体" w:eastAsia="宋体" w:cs="宋体"/>
          <w:i w:val="0"/>
          <w:caps w:val="0"/>
          <w:color w:val="000000"/>
          <w:spacing w:val="0"/>
          <w:sz w:val="28"/>
          <w:szCs w:val="28"/>
          <w:shd w:val="clear" w:color="070000" w:fill="FFFFFF"/>
          <w:lang w:val="en-US" w:eastAsia="zh-CN"/>
        </w:rPr>
        <w:t>[2019]7号</w:t>
      </w:r>
      <w:r>
        <w:rPr>
          <w:rFonts w:hint="eastAsia" w:ascii="宋体" w:hAnsi="宋体" w:eastAsia="宋体" w:cs="宋体"/>
          <w:i w:val="0"/>
          <w:caps w:val="0"/>
          <w:color w:val="000000"/>
          <w:spacing w:val="0"/>
          <w:sz w:val="28"/>
          <w:szCs w:val="28"/>
          <w:shd w:val="clear" w:color="070000" w:fill="FFFFFF"/>
          <w:lang w:eastAsia="zh-CN"/>
        </w:rPr>
        <w:t>）相关规定，按照《邢台市市级部门绩效自评办法》（邢市财预</w:t>
      </w:r>
      <w:r>
        <w:rPr>
          <w:rFonts w:hint="eastAsia" w:ascii="宋体" w:hAnsi="宋体" w:eastAsia="宋体" w:cs="宋体"/>
          <w:i w:val="0"/>
          <w:caps w:val="0"/>
          <w:color w:val="000000"/>
          <w:spacing w:val="0"/>
          <w:sz w:val="28"/>
          <w:szCs w:val="28"/>
          <w:shd w:val="clear" w:color="070000" w:fill="FFFFFF"/>
          <w:lang w:val="en-US" w:eastAsia="zh-CN"/>
        </w:rPr>
        <w:t>[2019]75号</w:t>
      </w:r>
      <w:r>
        <w:rPr>
          <w:rFonts w:hint="eastAsia" w:ascii="宋体" w:hAnsi="宋体" w:eastAsia="宋体" w:cs="宋体"/>
          <w:i w:val="0"/>
          <w:caps w:val="0"/>
          <w:color w:val="000000"/>
          <w:spacing w:val="0"/>
          <w:sz w:val="28"/>
          <w:szCs w:val="28"/>
          <w:shd w:val="clear" w:color="070000" w:fill="FFFFFF"/>
          <w:lang w:eastAsia="zh-CN"/>
        </w:rPr>
        <w:t>）、《邢台市市级部门整体预算绩效评价暂行办法》（邢市财预</w:t>
      </w:r>
      <w:r>
        <w:rPr>
          <w:rFonts w:hint="eastAsia" w:ascii="宋体" w:hAnsi="宋体" w:eastAsia="宋体" w:cs="宋体"/>
          <w:i w:val="0"/>
          <w:caps w:val="0"/>
          <w:color w:val="000000"/>
          <w:spacing w:val="0"/>
          <w:sz w:val="28"/>
          <w:szCs w:val="28"/>
          <w:shd w:val="clear" w:color="070000" w:fill="FFFFFF"/>
          <w:lang w:val="en-US" w:eastAsia="zh-CN"/>
        </w:rPr>
        <w:t>[2019]65号</w:t>
      </w:r>
      <w:r>
        <w:rPr>
          <w:rFonts w:hint="eastAsia" w:ascii="宋体" w:hAnsi="宋体" w:eastAsia="宋体" w:cs="宋体"/>
          <w:i w:val="0"/>
          <w:caps w:val="0"/>
          <w:color w:val="000000"/>
          <w:spacing w:val="0"/>
          <w:sz w:val="28"/>
          <w:szCs w:val="28"/>
          <w:shd w:val="clear" w:color="070000" w:fill="FFFFFF"/>
          <w:lang w:eastAsia="zh-CN"/>
        </w:rPr>
        <w:t>）</w:t>
      </w:r>
      <w:r>
        <w:rPr>
          <w:rFonts w:hint="eastAsia" w:ascii="宋体" w:hAnsi="宋体" w:eastAsia="宋体" w:cs="宋体"/>
          <w:i w:val="0"/>
          <w:caps w:val="0"/>
          <w:color w:val="000000"/>
          <w:spacing w:val="0"/>
          <w:sz w:val="28"/>
          <w:szCs w:val="28"/>
          <w:shd w:val="clear" w:color="070000" w:fill="FFFFFF"/>
        </w:rPr>
        <w:t>等有关文件政策精神以及市委市政府年度绩效考核办法的要求，我</w:t>
      </w:r>
      <w:r>
        <w:rPr>
          <w:rFonts w:hint="eastAsia" w:ascii="宋体" w:hAnsi="宋体" w:cs="宋体"/>
          <w:i w:val="0"/>
          <w:caps w:val="0"/>
          <w:color w:val="000000"/>
          <w:spacing w:val="0"/>
          <w:sz w:val="28"/>
          <w:szCs w:val="28"/>
          <w:shd w:val="clear" w:color="070000" w:fill="FFFFFF"/>
          <w:lang w:eastAsia="zh-CN"/>
        </w:rPr>
        <w:t>单位</w:t>
      </w:r>
      <w:r>
        <w:rPr>
          <w:rFonts w:hint="eastAsia" w:ascii="宋体" w:hAnsi="宋体" w:eastAsia="宋体" w:cs="宋体"/>
          <w:i w:val="0"/>
          <w:caps w:val="0"/>
          <w:color w:val="000000"/>
          <w:spacing w:val="0"/>
          <w:sz w:val="28"/>
          <w:szCs w:val="28"/>
          <w:shd w:val="clear" w:color="070000" w:fill="FFFFFF"/>
        </w:rPr>
        <w:t>认真组织进行了201</w:t>
      </w:r>
      <w:r>
        <w:rPr>
          <w:rFonts w:hint="eastAsia" w:ascii="宋体" w:hAnsi="宋体" w:eastAsia="宋体" w:cs="宋体"/>
          <w:i w:val="0"/>
          <w:caps w:val="0"/>
          <w:color w:val="000000"/>
          <w:spacing w:val="0"/>
          <w:sz w:val="28"/>
          <w:szCs w:val="28"/>
          <w:shd w:val="clear" w:color="070000" w:fill="FFFFFF"/>
          <w:lang w:val="en-US" w:eastAsia="zh-CN"/>
        </w:rPr>
        <w:t>9</w:t>
      </w:r>
      <w:r>
        <w:rPr>
          <w:rFonts w:hint="eastAsia" w:ascii="宋体" w:hAnsi="宋体" w:eastAsia="宋体" w:cs="宋体"/>
          <w:i w:val="0"/>
          <w:caps w:val="0"/>
          <w:color w:val="000000"/>
          <w:spacing w:val="0"/>
          <w:sz w:val="28"/>
          <w:szCs w:val="28"/>
          <w:shd w:val="clear" w:color="070000" w:fill="FFFFFF"/>
        </w:rPr>
        <w:t>年度预算绩效自评工作，自评分9</w:t>
      </w:r>
      <w:r>
        <w:rPr>
          <w:rFonts w:hint="eastAsia" w:ascii="宋体" w:hAnsi="宋体" w:eastAsia="宋体" w:cs="宋体"/>
          <w:i w:val="0"/>
          <w:caps w:val="0"/>
          <w:color w:val="000000"/>
          <w:spacing w:val="0"/>
          <w:sz w:val="28"/>
          <w:szCs w:val="28"/>
          <w:shd w:val="clear" w:color="070000" w:fill="FFFFFF"/>
          <w:lang w:val="en-US" w:eastAsia="zh-CN"/>
        </w:rPr>
        <w:t>8</w:t>
      </w:r>
      <w:r>
        <w:rPr>
          <w:rFonts w:hint="eastAsia" w:ascii="宋体" w:hAnsi="宋体" w:eastAsia="宋体" w:cs="宋体"/>
          <w:i w:val="0"/>
          <w:caps w:val="0"/>
          <w:color w:val="000000"/>
          <w:spacing w:val="0"/>
          <w:sz w:val="28"/>
          <w:szCs w:val="28"/>
          <w:shd w:val="clear" w:color="070000" w:fill="FFFFFF"/>
        </w:rPr>
        <w:t>分。现将我部门整体支出绩效评价情况报告如下：</w:t>
      </w:r>
    </w:p>
    <w:p w14:paraId="316BD536">
      <w:pPr>
        <w:pStyle w:val="4"/>
        <w:widowControl/>
        <w:pBdr>
          <w:top w:val="none" w:color="auto" w:sz="0" w:space="0"/>
          <w:left w:val="none" w:color="auto" w:sz="0" w:space="0"/>
          <w:bottom w:val="none" w:color="auto" w:sz="0" w:space="0"/>
          <w:right w:val="none" w:color="auto" w:sz="0" w:space="0"/>
        </w:pBdr>
        <w:wordWrap/>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sz w:val="28"/>
          <w:szCs w:val="28"/>
          <w:shd w:val="clear" w:color="070000" w:fill="FFFFFF"/>
        </w:rPr>
        <w:t>一、基本</w:t>
      </w:r>
      <w:r>
        <w:rPr>
          <w:rFonts w:hint="eastAsia" w:ascii="宋体" w:hAnsi="宋体" w:cs="宋体"/>
          <w:i w:val="0"/>
          <w:caps w:val="0"/>
          <w:color w:val="000000"/>
          <w:spacing w:val="0"/>
          <w:sz w:val="28"/>
          <w:szCs w:val="28"/>
          <w:shd w:val="clear" w:color="070000" w:fill="FFFFFF"/>
          <w:lang w:eastAsia="zh-CN"/>
        </w:rPr>
        <w:t>概况</w:t>
      </w:r>
    </w:p>
    <w:p w14:paraId="00B7AE0F">
      <w:pPr>
        <w:rPr>
          <w:rFonts w:hint="eastAsia" w:ascii="仿宋_GB2312" w:eastAsia="仿宋_GB2312"/>
          <w:b/>
          <w:sz w:val="28"/>
          <w:szCs w:val="28"/>
        </w:rPr>
      </w:pPr>
      <w:r>
        <w:rPr>
          <w:rFonts w:ascii="宋体" w:hAnsi="宋体" w:cs="宋体"/>
          <w:color w:val="000000"/>
          <w:kern w:val="0"/>
          <w:sz w:val="27"/>
          <w:szCs w:val="27"/>
        </w:rPr>
        <w:t>　</w:t>
      </w:r>
      <w:r>
        <w:rPr>
          <w:rFonts w:hint="eastAsia" w:ascii="仿宋_GB2312" w:eastAsia="仿宋_GB2312"/>
          <w:b/>
          <w:sz w:val="28"/>
          <w:szCs w:val="28"/>
        </w:rPr>
        <w:t>机构设置及主要职责</w:t>
      </w:r>
    </w:p>
    <w:p w14:paraId="6CEA8F0D">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市政协机关设一室三科，即：办公室、组织联络科、学习宣传科、</w:t>
      </w:r>
    </w:p>
    <w:p w14:paraId="17BEF1DC">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文史资料科。</w:t>
      </w:r>
    </w:p>
    <w:p w14:paraId="11E4316C">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2" w:firstLineChars="200"/>
        <w:textAlignment w:val="auto"/>
        <w:rPr>
          <w:rFonts w:hint="eastAsia" w:ascii="仿宋_GB2312" w:eastAsia="仿宋_GB2312"/>
          <w:b/>
          <w:sz w:val="28"/>
          <w:szCs w:val="28"/>
        </w:rPr>
      </w:pPr>
      <w:r>
        <w:rPr>
          <w:rFonts w:hint="eastAsia" w:ascii="仿宋_GB2312" w:eastAsia="仿宋_GB2312"/>
          <w:b/>
          <w:sz w:val="28"/>
          <w:szCs w:val="28"/>
        </w:rPr>
        <w:t>（一）办公室主要工作职责</w:t>
      </w:r>
    </w:p>
    <w:p w14:paraId="12A09337">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1、组织实施市政协全体委员会议、常务委员会议、主席会议的决议、决定。</w:t>
      </w:r>
    </w:p>
    <w:p w14:paraId="65A2C234">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2、负责市政协例会的会务工作，搞好会前、会中、会后的服务，保证会议的顺利进行。</w:t>
      </w:r>
    </w:p>
    <w:p w14:paraId="3594FB0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3、参与政务，提供决策服务。做好调研、咨询和各有关信息、资料的收集整理，为领导决策当好参谋。迅速、准确地完成上传下达等任务。</w:t>
      </w:r>
    </w:p>
    <w:p w14:paraId="5504CAF3">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4、负责委员视察、考察、座谈、研讨等日常活动的具体组织和服务工作。</w:t>
      </w:r>
    </w:p>
    <w:p w14:paraId="36C1E57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5、研究统一战线和人名政协的理论政策、总结交流工作经验，撰写理论研讨文章。</w:t>
      </w:r>
    </w:p>
    <w:p w14:paraId="5E5BD57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6、搞好信息和宣传工作，及时收集和反映社情民意。</w:t>
      </w:r>
    </w:p>
    <w:p w14:paraId="6BF861E8">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7、负责政协有关会议文件、动态、刊物及领导讲话、大事记等综合材料的起草、印制工作。</w:t>
      </w:r>
    </w:p>
    <w:p w14:paraId="5C2CC20F">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8、负责机关公文处理和文书档案的立卷归档和管理利用工作，做好机要保密工作和印信管理工作。</w:t>
      </w:r>
    </w:p>
    <w:p w14:paraId="6D2E9B64">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9、认真做好工作督查、催办和反馈，促进各项工作的落实。</w:t>
      </w:r>
    </w:p>
    <w:p w14:paraId="38650313">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10、负责市政协机关人事、工资福利和老干部工作。</w:t>
      </w:r>
    </w:p>
    <w:p w14:paraId="49A7B03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11、负责市政协机关安全、保卫、机要、通讯工作，加强机关财务、物资、车辆的管理，搞好后勤保障。</w:t>
      </w:r>
    </w:p>
    <w:p w14:paraId="6034B56F">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caps w:val="0"/>
          <w:color w:val="000000"/>
          <w:spacing w:val="0"/>
          <w:kern w:val="0"/>
          <w:sz w:val="28"/>
          <w:szCs w:val="28"/>
          <w:shd w:val="clear" w:color="070000" w:fill="FFFFFF"/>
          <w:lang w:val="en-US" w:eastAsia="zh-CN" w:bidi="ar-SA"/>
        </w:rPr>
      </w:pPr>
      <w:r>
        <w:rPr>
          <w:rFonts w:hint="eastAsia" w:ascii="宋体" w:hAnsi="宋体" w:eastAsia="宋体" w:cs="宋体"/>
          <w:i w:val="0"/>
          <w:caps w:val="0"/>
          <w:color w:val="000000"/>
          <w:spacing w:val="0"/>
          <w:kern w:val="0"/>
          <w:sz w:val="28"/>
          <w:szCs w:val="28"/>
          <w:shd w:val="clear" w:color="070000" w:fill="FFFFFF"/>
          <w:lang w:val="en-US" w:eastAsia="zh-CN" w:bidi="ar-SA"/>
        </w:rPr>
        <w:t xml:space="preserve"> 12、为领导、机关和委员搞好有关服务工作，完成领导交办的其他工作任务。</w:t>
      </w:r>
    </w:p>
    <w:p w14:paraId="285D787C">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2" w:firstLineChars="200"/>
        <w:textAlignment w:val="auto"/>
        <w:rPr>
          <w:rFonts w:hint="eastAsia" w:ascii="仿宋_GB2312" w:eastAsia="仿宋_GB2312"/>
          <w:b/>
          <w:sz w:val="28"/>
          <w:szCs w:val="28"/>
        </w:rPr>
      </w:pPr>
      <w:r>
        <w:rPr>
          <w:rFonts w:hint="eastAsia" w:ascii="仿宋_GB2312" w:eastAsia="仿宋_GB2312"/>
          <w:b/>
          <w:sz w:val="28"/>
          <w:szCs w:val="28"/>
        </w:rPr>
        <w:t>（二）组织联络科主要工作职责</w:t>
      </w:r>
    </w:p>
    <w:p w14:paraId="0EB4E43F">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1、负责提案工作方面的日常具体工作。</w:t>
      </w:r>
    </w:p>
    <w:p w14:paraId="42CA1BC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2、为提案委员会开展各项活动做好计划安排、材料准备、组织联系等服务工作。</w:t>
      </w:r>
    </w:p>
    <w:p w14:paraId="2EF9CF8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3、负责征集提案。</w:t>
      </w:r>
    </w:p>
    <w:p w14:paraId="6AEC9AC8">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4、负责组织对提案进行审查立案，确定承办单位。</w:t>
      </w:r>
    </w:p>
    <w:p w14:paraId="54526C9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5、对提案办理情况进行检查督促，推动承办单位认真办理、落实提案。</w:t>
      </w:r>
    </w:p>
    <w:p w14:paraId="728C76D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6、向全体会议、常务委员会、主席会议报告工作。</w:t>
      </w:r>
    </w:p>
    <w:p w14:paraId="765E3834">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7、加强与委员及有关部门的联系和沟通，促进提案的办理落实。</w:t>
      </w:r>
    </w:p>
    <w:p w14:paraId="5642620F">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8、组织提案委每季一次的提案委员会全体会议。</w:t>
      </w:r>
    </w:p>
    <w:p w14:paraId="7FFD284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9、建立激励机制，激发委员撰写提案的积极性。</w:t>
      </w:r>
    </w:p>
    <w:p w14:paraId="32B798C7">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10、搞好归档保管工作，对提案原件、答复件、反馈意见等按规定妥善保管。</w:t>
      </w:r>
    </w:p>
    <w:p w14:paraId="2806468A">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11、配合市政协的重点、中心工作，组织联络政协委员进行座谈、视察等活动。</w:t>
      </w:r>
    </w:p>
    <w:p w14:paraId="501270E7">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12、加强与每位委员及有关部门联络，了解全面情况，为政协领导当好参谋。</w:t>
      </w:r>
    </w:p>
    <w:p w14:paraId="1C5FAB37">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13、与上级政协机构建立联系与合作。</w:t>
      </w:r>
    </w:p>
    <w:p w14:paraId="1283F65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2" w:firstLineChars="200"/>
        <w:textAlignment w:val="auto"/>
        <w:rPr>
          <w:rFonts w:hint="eastAsia" w:ascii="仿宋_GB2312" w:eastAsia="仿宋_GB2312"/>
          <w:b/>
          <w:sz w:val="28"/>
          <w:szCs w:val="28"/>
        </w:rPr>
      </w:pPr>
      <w:r>
        <w:rPr>
          <w:rFonts w:hint="eastAsia" w:ascii="仿宋_GB2312" w:eastAsia="仿宋_GB2312"/>
          <w:b/>
          <w:sz w:val="28"/>
          <w:szCs w:val="28"/>
        </w:rPr>
        <w:t>（三）学习宣传科主要工作职责</w:t>
      </w:r>
    </w:p>
    <w:p w14:paraId="7FEB9B7A">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1、根据政协章程规定，具体组织实施市政协全委会、常委会和主席会议提出的学习、宣传任务。</w:t>
      </w:r>
    </w:p>
    <w:p w14:paraId="3E7A7EA4">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2、组织开展座谈会、报告会、参观等多种形式的学习活动，征订、编印、发放有关学习资料和其他辅助材料，提高委员政治业务素质，为委员知情出力、参政议政创造条件。</w:t>
      </w:r>
    </w:p>
    <w:p w14:paraId="68096BFC">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3、密切同各级新闻宣传部门的联系，做好人民政协的宣传报道工作。运用各种宣传和多种形式，宣传人民政协的地位和作用；宣传统一战线和人民政协的理论政策；宣传政协工作和政协委员先进事迹等。</w:t>
      </w:r>
    </w:p>
    <w:p w14:paraId="2E2EF55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4、根据市政协全体委员会议和常务委员会议精神，制定年度工作计划。每年度做好工作总结，向全委会、常委会和主席会议报告。</w:t>
      </w:r>
    </w:p>
    <w:p w14:paraId="1CA9D5F4">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5、组织召开本科各种会议和各项活动，积极搞好政协学习宣传方面的理论研讨。</w:t>
      </w:r>
    </w:p>
    <w:p w14:paraId="1ACAB6A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6、负责组织市政协机关党员干部认真学习马列主义，毛泽东思想，邓小平理论和党的路线、方针、政策以及决议，学习科学、文化和业务知识，提高自身理论素质和业务水平，增强参政议政、为委员服务的能力。</w:t>
      </w:r>
    </w:p>
    <w:p w14:paraId="624164AD">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7、完成常委会和主席会议交办的其他工作。</w:t>
      </w:r>
    </w:p>
    <w:p w14:paraId="0E09E65A">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2" w:firstLineChars="200"/>
        <w:textAlignment w:val="auto"/>
        <w:rPr>
          <w:rFonts w:hint="eastAsia" w:ascii="仿宋_GB2312" w:eastAsia="仿宋_GB2312"/>
          <w:b/>
          <w:sz w:val="28"/>
          <w:szCs w:val="28"/>
        </w:rPr>
      </w:pPr>
      <w:r>
        <w:rPr>
          <w:rFonts w:hint="eastAsia" w:ascii="仿宋_GB2312" w:eastAsia="仿宋_GB2312"/>
          <w:b/>
          <w:sz w:val="28"/>
          <w:szCs w:val="28"/>
        </w:rPr>
        <w:t>（四）文史资料科工作职责</w:t>
      </w:r>
    </w:p>
    <w:p w14:paraId="77A4122C">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1、负责沙河市文史资料的政绩、整理、出版、交流等工作。</w:t>
      </w:r>
    </w:p>
    <w:p w14:paraId="31D8A69F">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2、负责制定本科每度工作计划，每年进行一次工作总结，并根据不同情况分别向常务委员会或委员全体会议报告。</w:t>
      </w:r>
    </w:p>
    <w:p w14:paraId="3B1AE58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3、根据政协章程，以及市政协常务委员会会议提出的文史资料工作的各项任务，具体组织实施，并在调查研究的基础上，就全市文史资料工作的深入开展提出具体建议和意见。</w:t>
      </w:r>
    </w:p>
    <w:p w14:paraId="1F17947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4、负责同上级对口单位的联系，并积极报送文史资料。</w:t>
      </w:r>
    </w:p>
    <w:p w14:paraId="3EC59F7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5、负责同全市的地方志、党史办、历史研究和教学单位的业务联系。</w:t>
      </w:r>
    </w:p>
    <w:p w14:paraId="48A7EDA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6、完成常委会和主席会议交办的其他工作。</w:t>
      </w:r>
    </w:p>
    <w:p w14:paraId="6B863953">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2" w:firstLineChars="200"/>
        <w:textAlignment w:val="auto"/>
        <w:rPr>
          <w:rFonts w:hint="eastAsia" w:ascii="仿宋_GB2312" w:eastAsia="仿宋_GB2312"/>
          <w:b/>
          <w:sz w:val="28"/>
          <w:szCs w:val="28"/>
        </w:rPr>
      </w:pPr>
      <w:r>
        <w:rPr>
          <w:rFonts w:hint="eastAsia" w:ascii="仿宋_GB2312" w:eastAsia="仿宋_GB2312"/>
          <w:b/>
          <w:sz w:val="28"/>
          <w:szCs w:val="28"/>
        </w:rPr>
        <w:t>预算单位构成</w:t>
      </w:r>
    </w:p>
    <w:p w14:paraId="79A03007">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本部门无下级预算单位，部门预算构成只包括中国人民政治协商会议河北省沙河市委员会。</w:t>
      </w:r>
    </w:p>
    <w:p w14:paraId="6E4BD0A7">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机构设置</w:t>
      </w:r>
    </w:p>
    <w:p w14:paraId="0BC498DD">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p>
    <w:tbl>
      <w:tblPr>
        <w:tblStyle w:val="6"/>
        <w:tblpPr w:leftFromText="180" w:rightFromText="180" w:vertAnchor="text" w:horzAnchor="page" w:tblpX="999" w:tblpY="402"/>
        <w:tblOverlap w:val="never"/>
        <w:tblW w:w="10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6"/>
        <w:gridCol w:w="1346"/>
        <w:gridCol w:w="1490"/>
        <w:gridCol w:w="2656"/>
      </w:tblGrid>
      <w:tr w14:paraId="35E0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46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B2D9178">
            <w:pPr>
              <w:widowControl/>
              <w:jc w:val="center"/>
              <w:textAlignment w:val="center"/>
              <w:rPr>
                <w:rFonts w:ascii="宋体" w:cs="Times New Roman"/>
                <w:sz w:val="24"/>
                <w:szCs w:val="24"/>
              </w:rPr>
            </w:pPr>
            <w:r>
              <w:rPr>
                <w:rFonts w:hint="eastAsia" w:ascii="仿宋_GB2312" w:eastAsia="仿宋_GB2312"/>
                <w:sz w:val="28"/>
                <w:szCs w:val="28"/>
              </w:rPr>
              <w:t>单位名称</w:t>
            </w:r>
          </w:p>
        </w:tc>
        <w:tc>
          <w:tcPr>
            <w:tcW w:w="1346" w:type="dxa"/>
            <w:tcBorders>
              <w:top w:val="single" w:color="auto" w:sz="4" w:space="0"/>
              <w:left w:val="nil"/>
              <w:bottom w:val="single" w:color="auto" w:sz="4" w:space="0"/>
              <w:right w:val="single" w:color="auto" w:sz="4" w:space="0"/>
            </w:tcBorders>
            <w:tcMar>
              <w:top w:w="12" w:type="dxa"/>
              <w:left w:w="12" w:type="dxa"/>
              <w:right w:w="12" w:type="dxa"/>
            </w:tcMar>
            <w:vAlign w:val="center"/>
          </w:tcPr>
          <w:p w14:paraId="3CF58F41">
            <w:pPr>
              <w:widowControl/>
              <w:jc w:val="center"/>
              <w:textAlignment w:val="center"/>
              <w:rPr>
                <w:rFonts w:hint="eastAsia" w:ascii="仿宋_GB2312" w:eastAsia="仿宋_GB2312"/>
                <w:sz w:val="28"/>
                <w:szCs w:val="28"/>
              </w:rPr>
            </w:pPr>
            <w:r>
              <w:rPr>
                <w:rFonts w:hint="eastAsia" w:ascii="仿宋_GB2312" w:eastAsia="仿宋_GB2312"/>
                <w:sz w:val="28"/>
                <w:szCs w:val="28"/>
              </w:rPr>
              <w:t>单位性质</w:t>
            </w:r>
          </w:p>
        </w:tc>
        <w:tc>
          <w:tcPr>
            <w:tcW w:w="1490" w:type="dxa"/>
            <w:tcBorders>
              <w:top w:val="single" w:color="auto" w:sz="4" w:space="0"/>
              <w:left w:val="nil"/>
              <w:bottom w:val="single" w:color="auto" w:sz="4" w:space="0"/>
              <w:right w:val="single" w:color="auto" w:sz="4" w:space="0"/>
            </w:tcBorders>
            <w:tcMar>
              <w:top w:w="12" w:type="dxa"/>
              <w:left w:w="12" w:type="dxa"/>
              <w:right w:w="12" w:type="dxa"/>
            </w:tcMar>
            <w:vAlign w:val="center"/>
          </w:tcPr>
          <w:p w14:paraId="0A14944F">
            <w:pPr>
              <w:widowControl/>
              <w:jc w:val="center"/>
              <w:textAlignment w:val="center"/>
              <w:rPr>
                <w:rFonts w:hint="eastAsia" w:ascii="仿宋_GB2312" w:eastAsia="仿宋_GB2312"/>
                <w:sz w:val="28"/>
                <w:szCs w:val="28"/>
              </w:rPr>
            </w:pPr>
            <w:r>
              <w:rPr>
                <w:rFonts w:hint="eastAsia" w:ascii="仿宋_GB2312" w:eastAsia="仿宋_GB2312"/>
                <w:sz w:val="28"/>
                <w:szCs w:val="28"/>
              </w:rPr>
              <w:t>单位规格</w:t>
            </w:r>
          </w:p>
        </w:tc>
        <w:tc>
          <w:tcPr>
            <w:tcW w:w="2656" w:type="dxa"/>
            <w:tcBorders>
              <w:top w:val="single" w:color="auto" w:sz="4" w:space="0"/>
              <w:left w:val="nil"/>
              <w:bottom w:val="single" w:color="auto" w:sz="4" w:space="0"/>
              <w:right w:val="single" w:color="auto" w:sz="4" w:space="0"/>
            </w:tcBorders>
            <w:tcMar>
              <w:top w:w="12" w:type="dxa"/>
              <w:left w:w="12" w:type="dxa"/>
              <w:right w:w="12" w:type="dxa"/>
            </w:tcMar>
            <w:vAlign w:val="center"/>
          </w:tcPr>
          <w:p w14:paraId="30F5036F">
            <w:pPr>
              <w:widowControl/>
              <w:jc w:val="center"/>
              <w:textAlignment w:val="center"/>
              <w:rPr>
                <w:rFonts w:hint="eastAsia" w:ascii="仿宋_GB2312" w:eastAsia="仿宋_GB2312"/>
                <w:sz w:val="28"/>
                <w:szCs w:val="28"/>
              </w:rPr>
            </w:pPr>
            <w:r>
              <w:rPr>
                <w:rFonts w:hint="eastAsia" w:ascii="仿宋_GB2312" w:eastAsia="仿宋_GB2312"/>
                <w:sz w:val="28"/>
                <w:szCs w:val="28"/>
              </w:rPr>
              <w:t>经费保障形式</w:t>
            </w:r>
          </w:p>
        </w:tc>
      </w:tr>
      <w:tr w14:paraId="392B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4686" w:type="dxa"/>
            <w:tcBorders>
              <w:top w:val="nil"/>
              <w:left w:val="single" w:color="auto" w:sz="4" w:space="0"/>
              <w:bottom w:val="single" w:color="auto" w:sz="4" w:space="0"/>
              <w:right w:val="single" w:color="auto" w:sz="4" w:space="0"/>
            </w:tcBorders>
            <w:tcMar>
              <w:top w:w="12" w:type="dxa"/>
              <w:left w:w="12" w:type="dxa"/>
              <w:right w:w="12" w:type="dxa"/>
            </w:tcMar>
            <w:vAlign w:val="center"/>
          </w:tcPr>
          <w:p w14:paraId="1CAA055F">
            <w:pPr>
              <w:widowControl/>
              <w:jc w:val="center"/>
              <w:textAlignment w:val="center"/>
              <w:rPr>
                <w:rFonts w:ascii="宋体" w:cs="Times New Roman"/>
                <w:sz w:val="24"/>
                <w:szCs w:val="24"/>
              </w:rPr>
            </w:pPr>
            <w:r>
              <w:rPr>
                <w:rFonts w:hint="eastAsia" w:ascii="仿宋_GB2312" w:eastAsia="仿宋_GB2312"/>
                <w:sz w:val="28"/>
                <w:szCs w:val="28"/>
              </w:rPr>
              <w:t>中国人民政治协商会议沙河市委员会</w:t>
            </w:r>
          </w:p>
        </w:tc>
        <w:tc>
          <w:tcPr>
            <w:tcW w:w="1346" w:type="dxa"/>
            <w:tcBorders>
              <w:top w:val="nil"/>
              <w:left w:val="nil"/>
              <w:bottom w:val="single" w:color="auto" w:sz="4" w:space="0"/>
              <w:right w:val="single" w:color="auto" w:sz="4" w:space="0"/>
            </w:tcBorders>
            <w:tcMar>
              <w:top w:w="12" w:type="dxa"/>
              <w:left w:w="12" w:type="dxa"/>
              <w:right w:w="12" w:type="dxa"/>
            </w:tcMar>
            <w:vAlign w:val="center"/>
          </w:tcPr>
          <w:p w14:paraId="704BA054">
            <w:pPr>
              <w:widowControl/>
              <w:jc w:val="center"/>
              <w:textAlignment w:val="center"/>
              <w:rPr>
                <w:rFonts w:hint="eastAsia" w:ascii="仿宋_GB2312" w:eastAsia="仿宋_GB2312"/>
                <w:sz w:val="28"/>
                <w:szCs w:val="28"/>
              </w:rPr>
            </w:pPr>
            <w:r>
              <w:rPr>
                <w:rFonts w:hint="eastAsia" w:ascii="仿宋_GB2312" w:eastAsia="仿宋_GB2312"/>
                <w:sz w:val="28"/>
                <w:szCs w:val="28"/>
              </w:rPr>
              <w:t>行政</w:t>
            </w:r>
          </w:p>
        </w:tc>
        <w:tc>
          <w:tcPr>
            <w:tcW w:w="1490" w:type="dxa"/>
            <w:tcBorders>
              <w:top w:val="nil"/>
              <w:left w:val="nil"/>
              <w:bottom w:val="single" w:color="auto" w:sz="4" w:space="0"/>
              <w:right w:val="single" w:color="auto" w:sz="4" w:space="0"/>
            </w:tcBorders>
            <w:tcMar>
              <w:top w:w="12" w:type="dxa"/>
              <w:left w:w="12" w:type="dxa"/>
              <w:right w:w="12" w:type="dxa"/>
            </w:tcMar>
            <w:vAlign w:val="center"/>
          </w:tcPr>
          <w:p w14:paraId="7066C05F">
            <w:pPr>
              <w:widowControl/>
              <w:jc w:val="center"/>
              <w:textAlignment w:val="center"/>
              <w:rPr>
                <w:rFonts w:hint="eastAsia" w:ascii="仿宋_GB2312" w:eastAsia="仿宋_GB2312"/>
                <w:sz w:val="28"/>
                <w:szCs w:val="28"/>
              </w:rPr>
            </w:pPr>
            <w:r>
              <w:rPr>
                <w:rFonts w:hint="eastAsia" w:ascii="仿宋_GB2312" w:eastAsia="仿宋_GB2312"/>
                <w:sz w:val="28"/>
                <w:szCs w:val="28"/>
              </w:rPr>
              <w:t>正科级</w:t>
            </w:r>
          </w:p>
        </w:tc>
        <w:tc>
          <w:tcPr>
            <w:tcW w:w="2656" w:type="dxa"/>
            <w:tcBorders>
              <w:top w:val="nil"/>
              <w:left w:val="nil"/>
              <w:bottom w:val="single" w:color="auto" w:sz="4" w:space="0"/>
              <w:right w:val="single" w:color="auto" w:sz="4" w:space="0"/>
            </w:tcBorders>
            <w:tcMar>
              <w:top w:w="12" w:type="dxa"/>
              <w:left w:w="12" w:type="dxa"/>
              <w:right w:w="12" w:type="dxa"/>
            </w:tcMar>
            <w:vAlign w:val="center"/>
          </w:tcPr>
          <w:p w14:paraId="43EBD442">
            <w:pPr>
              <w:widowControl/>
              <w:jc w:val="center"/>
              <w:textAlignment w:val="center"/>
              <w:rPr>
                <w:rFonts w:hint="eastAsia" w:ascii="仿宋_GB2312" w:eastAsia="仿宋_GB2312"/>
                <w:sz w:val="28"/>
                <w:szCs w:val="28"/>
              </w:rPr>
            </w:pPr>
            <w:r>
              <w:rPr>
                <w:rFonts w:hint="eastAsia" w:ascii="仿宋_GB2312" w:eastAsia="仿宋_GB2312"/>
                <w:sz w:val="28"/>
                <w:szCs w:val="28"/>
              </w:rPr>
              <w:t>财政拨款</w:t>
            </w:r>
          </w:p>
        </w:tc>
      </w:tr>
    </w:tbl>
    <w:p w14:paraId="3628C7C7">
      <w:pPr>
        <w:pStyle w:val="4"/>
        <w:widowControl/>
        <w:pBdr>
          <w:top w:val="none" w:color="auto" w:sz="0" w:space="0"/>
          <w:left w:val="none" w:color="auto" w:sz="0" w:space="0"/>
          <w:bottom w:val="none" w:color="auto" w:sz="0" w:space="0"/>
          <w:right w:val="none" w:color="auto" w:sz="0" w:space="0"/>
        </w:pBdr>
        <w:wordWrap/>
        <w:snapToGrid/>
        <w:spacing w:before="0" w:beforeAutospacing="0" w:after="0" w:afterAutospacing="0" w:line="360" w:lineRule="auto"/>
        <w:ind w:right="0"/>
        <w:jc w:val="left"/>
        <w:textAlignment w:val="auto"/>
        <w:rPr>
          <w:rFonts w:hint="eastAsia" w:ascii="宋体" w:hAnsi="宋体" w:eastAsia="宋体" w:cs="宋体"/>
          <w:sz w:val="28"/>
          <w:szCs w:val="28"/>
        </w:rPr>
      </w:pPr>
    </w:p>
    <w:p w14:paraId="285F97DE">
      <w:pPr>
        <w:pStyle w:val="4"/>
        <w:widowControl/>
        <w:pBdr>
          <w:top w:val="none" w:color="auto" w:sz="0" w:space="0"/>
          <w:left w:val="none" w:color="auto" w:sz="0" w:space="0"/>
          <w:bottom w:val="none" w:color="auto" w:sz="0" w:space="0"/>
          <w:right w:val="none" w:color="auto" w:sz="0" w:space="0"/>
        </w:pBdr>
        <w:wordWrap/>
        <w:snapToGrid/>
        <w:spacing w:before="0" w:beforeAutospacing="0" w:after="0" w:afterAutospacing="0" w:line="360" w:lineRule="auto"/>
        <w:ind w:left="0" w:right="0" w:firstLine="562" w:firstLineChars="200"/>
        <w:jc w:val="left"/>
        <w:textAlignment w:val="auto"/>
        <w:rPr>
          <w:rFonts w:hint="eastAsia" w:ascii="仿宋_GB2312" w:hAnsi="Calibri" w:eastAsia="仿宋_GB2312" w:cs="黑体"/>
          <w:b/>
          <w:bCs/>
          <w:kern w:val="2"/>
          <w:sz w:val="28"/>
          <w:szCs w:val="28"/>
          <w:lang w:val="en-US" w:eastAsia="zh-CN" w:bidi="ar-SA"/>
        </w:rPr>
      </w:pPr>
      <w:r>
        <w:rPr>
          <w:rFonts w:hint="eastAsia" w:ascii="仿宋_GB2312" w:hAnsi="Calibri" w:eastAsia="仿宋_GB2312" w:cs="黑体"/>
          <w:b/>
          <w:bCs/>
          <w:kern w:val="2"/>
          <w:sz w:val="28"/>
          <w:szCs w:val="28"/>
          <w:lang w:val="en-US" w:eastAsia="zh-CN" w:bidi="ar-SA"/>
        </w:rPr>
        <w:t>部门整体支出情况</w:t>
      </w:r>
    </w:p>
    <w:p w14:paraId="1E9CE78D">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2019年预算收入293.35万元，其中：一般公共预算收入293.35万元，基金预算拨款0元。</w:t>
      </w:r>
    </w:p>
    <w:p w14:paraId="24D891B2">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2019年支出预算293.35万元，其中基本支出213.65万元，包括人员经费186.28万元和日常公用经费27.37万元；项目支出79.7万元，全部为本级支出的一般公务经费。</w:t>
      </w:r>
    </w:p>
    <w:p w14:paraId="560F36D9">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中国人民政治协商会议河北省沙河市委员会固定资产金额为84.45万元</w:t>
      </w:r>
      <w:r>
        <w:rPr>
          <w:rFonts w:hint="eastAsia" w:ascii="仿宋_GB2312" w:eastAsia="仿宋_GB2312"/>
          <w:sz w:val="28"/>
          <w:szCs w:val="28"/>
          <w:lang w:eastAsia="zh-CN"/>
        </w:rPr>
        <w:t>。</w:t>
      </w:r>
    </w:p>
    <w:p w14:paraId="0ECC50A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总体绩效目标：</w:t>
      </w:r>
    </w:p>
    <w:p w14:paraId="298B0F71">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2019年主要工作谋划</w:t>
      </w:r>
      <w:r>
        <w:rPr>
          <w:rFonts w:hint="eastAsia" w:ascii="仿宋_GB2312" w:eastAsia="仿宋_GB2312"/>
          <w:sz w:val="28"/>
          <w:szCs w:val="28"/>
          <w:lang w:val="en-US" w:eastAsia="zh-CN"/>
        </w:rPr>
        <w:t>:</w:t>
      </w:r>
      <w:r>
        <w:rPr>
          <w:rFonts w:hint="eastAsia" w:ascii="仿宋_GB2312" w:eastAsia="仿宋_GB2312"/>
          <w:sz w:val="28"/>
          <w:szCs w:val="28"/>
        </w:rPr>
        <w:t> </w:t>
      </w:r>
    </w:p>
    <w:p w14:paraId="2876482F">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2019年，市政协工作的总体要求是：以习近平新时代中国特色社会主义思想为统领，以习近平总书记关于加强和改进人民政协工作的重要思想为指导，深入贯彻落实市委七届四次全会精神，大力弘扬团结、民主两大主题, 在推进改革发展中献计出力，在增进民生福祉中积极作为，在汇聚力量中发挥作用，为建设经济强市、美丽沙河作出新的贡献。</w:t>
      </w:r>
    </w:p>
    <w:p w14:paraId="1EB08D5B">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一、突出</w:t>
      </w:r>
      <w:r>
        <w:rPr>
          <w:rFonts w:hint="eastAsia" w:ascii="仿宋_GB2312" w:eastAsia="仿宋_GB2312"/>
          <w:sz w:val="28"/>
          <w:szCs w:val="28"/>
          <w:lang w:val="en-US" w:eastAsia="zh-CN"/>
        </w:rPr>
        <w:t>全面</w:t>
      </w:r>
      <w:r>
        <w:rPr>
          <w:rFonts w:hint="eastAsia" w:ascii="仿宋_GB2312" w:eastAsia="仿宋_GB2312"/>
          <w:sz w:val="28"/>
          <w:szCs w:val="28"/>
        </w:rPr>
        <w:t>从严治党，努力在政协党建工作上有新成效</w:t>
      </w:r>
    </w:p>
    <w:p w14:paraId="14C86DE6">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按照新时代党的建设总要求，切实强化政协党的建设，确保把市委的决策部署转化为广大政协委员和社会各界人士的思想共识和行动指南。更加深入抓好政治理论学习，扎实推进“两学一做”学习教育常态化制度化，加强政协委员理论武装，把学习教育与凝聚政治共识相结合，不断增强政治认同、思想认同、理论认同、情感认同。严格规范党内组织生活，进一步完善政协党组织“三会一课”，谈心谈话和民主评议党员制度，开好民主生活会和组织生活会。积极探索党员委员联系党外委员制度，充分发挥党员委员在政治引领、发扬民主、廉洁奉公等方面的模范作用。</w:t>
      </w:r>
    </w:p>
    <w:p w14:paraId="74B18A02">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二、加强协商议政，努力在促进高质量发展上有新作为</w:t>
      </w:r>
    </w:p>
    <w:p w14:paraId="27F5CDD3">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认真贯彻执行《关于加强人民政协协商民主建设的实施意见》，进一步完善以政协全体会议为龙头，以政协常委会会议、主席会议专题协商为重点，以视察协商、提案办理协商、专委会对口协商和界别协商等为常态的协商议政格局。紧扣“脱贫攻坚”和“民营经济发展”两大主题，将政府重点建设项目实施、深化体制机制改革、特色产业发展、生态环境保护、文明城市创建、精准扶贫、乡村振兴战略、全域旅游发展等方面作为参政议政的重点，采取整体工作全面协商、重点工作专题协商、部门工作对口协商等方式开展政治协商，积极助力市委、市政府重大决策部署的贯彻落实。</w:t>
      </w:r>
    </w:p>
    <w:p w14:paraId="2C02FA3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三、强化民主监督，努力在促进监督实效上有新措施</w:t>
      </w:r>
    </w:p>
    <w:p w14:paraId="28187233">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聚焦教育、就业、医疗卫生、脱贫攻坚、社会保障、民生工程建设等各项工作，大力开展监督性调研视察活动，通过界别协商、提案、反映社情民意、委员视察、民主评议等各种形式，加强对有关部门工作的监督。进一步加强和改进提案工作，加大对民生提案督办力度，拓宽提案督办途径，真正做到在“提得准”上下功夫，在“办得好”上出实效，提高提案的落实率。</w:t>
      </w:r>
    </w:p>
    <w:p w14:paraId="3CCA83A2">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四、改进工作作风，努力在履职能力提升上有新举措</w:t>
      </w:r>
    </w:p>
    <w:p w14:paraId="5EDBED2E">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按照懂政协、会协商、善议政和守纪律、讲规矩、重品行的要求，加强委员队伍建设，努力提高政治把握能力、调查研究能力、合作共事能力、服务群众能力，切实发挥委员在政协工作中的主体作用、本职工作中的带头作用、界别群众中的表率作用。深入开展 “献良策、善创新、有作为”活动和“走基层助力脱贫攻坚”行动，进一步激发委员创新创业热情，发挥好政协在助推民营经济和助力脱贫攻坚中的积极作用，更好地展示委员的社会责任和爱心。</w:t>
      </w:r>
    </w:p>
    <w:p w14:paraId="40EDA6C1">
      <w:pPr>
        <w:pStyle w:val="4"/>
        <w:widowControl/>
        <w:spacing w:before="0" w:beforeAutospacing="0" w:after="0" w:afterAutospacing="0" w:line="600" w:lineRule="exact"/>
        <w:ind w:firstLine="640" w:firstLineChars="200"/>
        <w:jc w:val="both"/>
        <w:rPr>
          <w:rFonts w:ascii="仿宋_GB2312" w:hAnsi="仿宋_GB2312" w:eastAsia="仿宋_GB2312" w:cs="Times New Roman"/>
          <w:sz w:val="32"/>
          <w:szCs w:val="32"/>
        </w:rPr>
      </w:pPr>
    </w:p>
    <w:p w14:paraId="568967E6">
      <w:pPr>
        <w:widowControl/>
        <w:spacing w:line="600" w:lineRule="exact"/>
        <w:rPr>
          <w:rFonts w:ascii="仿宋" w:hAnsi="仿宋" w:eastAsia="仿宋" w:cs="Times New Roman"/>
          <w:color w:val="2B2B2B"/>
          <w:kern w:val="0"/>
          <w:sz w:val="32"/>
          <w:szCs w:val="32"/>
        </w:rPr>
      </w:pPr>
    </w:p>
    <w:p w14:paraId="1A3C7B66">
      <w:pPr>
        <w:numPr>
          <w:ilvl w:val="0"/>
          <w:numId w:val="0"/>
        </w:numPr>
        <w:spacing w:line="610" w:lineRule="exact"/>
        <w:rPr>
          <w:rFonts w:ascii="仿宋" w:hAnsi="仿宋" w:eastAsia="仿宋" w:cs="Times New Roman"/>
          <w:b/>
          <w:bCs/>
          <w:sz w:val="32"/>
          <w:szCs w:val="32"/>
        </w:rPr>
      </w:pPr>
      <w:r>
        <w:rPr>
          <w:rFonts w:hint="eastAsia" w:ascii="仿宋" w:hAnsi="仿宋" w:eastAsia="仿宋" w:cs="仿宋"/>
          <w:b/>
          <w:bCs/>
          <w:sz w:val="32"/>
          <w:szCs w:val="32"/>
        </w:rPr>
        <w:t>部门职责及工作绩效目标指标</w:t>
      </w:r>
    </w:p>
    <w:p w14:paraId="0CBFFF1E">
      <w:pPr>
        <w:jc w:val="center"/>
        <w:outlineLvl w:val="0"/>
        <w:rPr>
          <w:rFonts w:ascii="方正小标宋_GBK" w:hAnsi="方正小标宋_GBK" w:eastAsia="方正小标宋_GBK" w:cs="Times New Roman"/>
          <w:sz w:val="32"/>
          <w:szCs w:val="32"/>
        </w:rPr>
      </w:pPr>
      <w:bookmarkStart w:id="0" w:name="_Toc478568635"/>
      <w:r>
        <w:rPr>
          <w:rFonts w:hint="eastAsia" w:ascii="方正小标宋_GBK" w:hAnsi="方正小标宋_GBK" w:eastAsia="方正小标宋_GBK" w:cs="方正小标宋_GBK"/>
          <w:sz w:val="32"/>
          <w:szCs w:val="32"/>
        </w:rPr>
        <w:t>部门职责</w:t>
      </w:r>
      <w:r>
        <w:rPr>
          <w:rFonts w:ascii="方正小标宋_GBK" w:hAnsi="方正小标宋_GBK" w:eastAsia="方正小标宋_GBK" w:cs="方正小标宋_GBK"/>
          <w:sz w:val="32"/>
          <w:szCs w:val="32"/>
        </w:rPr>
        <w:t>-</w:t>
      </w:r>
      <w:r>
        <w:rPr>
          <w:rFonts w:hint="eastAsia" w:ascii="方正小标宋_GBK" w:hAnsi="方正小标宋_GBK" w:eastAsia="方正小标宋_GBK" w:cs="方正小标宋_GBK"/>
          <w:sz w:val="32"/>
          <w:szCs w:val="32"/>
        </w:rPr>
        <w:t>工作活动绩效目标</w:t>
      </w:r>
      <w:bookmarkEnd w:id="0"/>
    </w:p>
    <w:tbl>
      <w:tblPr>
        <w:tblStyle w:val="6"/>
        <w:tblW w:w="10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1487"/>
        <w:gridCol w:w="1893"/>
        <w:gridCol w:w="1592"/>
        <w:gridCol w:w="790"/>
        <w:gridCol w:w="811"/>
        <w:gridCol w:w="710"/>
        <w:gridCol w:w="710"/>
        <w:gridCol w:w="615"/>
      </w:tblGrid>
      <w:tr w14:paraId="35E1B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4" w:hRule="atLeast"/>
          <w:tblHeader/>
          <w:jc w:val="center"/>
        </w:trPr>
        <w:tc>
          <w:tcPr>
            <w:tcW w:w="8013" w:type="dxa"/>
            <w:gridSpan w:val="5"/>
            <w:tcBorders>
              <w:top w:val="single" w:color="FFFFFF" w:sz="6" w:space="0"/>
              <w:left w:val="single" w:color="FFFFFF" w:sz="6" w:space="0"/>
              <w:right w:val="single" w:color="FFFFFF" w:sz="6" w:space="0"/>
            </w:tcBorders>
            <w:vAlign w:val="center"/>
          </w:tcPr>
          <w:p w14:paraId="4440A3CF">
            <w:pPr>
              <w:spacing w:line="300" w:lineRule="exact"/>
              <w:jc w:val="left"/>
              <w:rPr>
                <w:rFonts w:hint="eastAsia" w:ascii="宋体" w:hAnsi="宋体" w:eastAsia="宋体" w:cs="宋体"/>
                <w:sz w:val="24"/>
                <w:szCs w:val="24"/>
              </w:rPr>
            </w:pPr>
          </w:p>
          <w:p w14:paraId="1861ABB6">
            <w:pPr>
              <w:spacing w:line="300" w:lineRule="exact"/>
              <w:jc w:val="left"/>
              <w:rPr>
                <w:rFonts w:hint="eastAsia" w:ascii="宋体" w:hAnsi="宋体" w:eastAsia="宋体" w:cs="宋体"/>
                <w:sz w:val="24"/>
                <w:szCs w:val="24"/>
              </w:rPr>
            </w:pPr>
          </w:p>
          <w:p w14:paraId="54079EAD">
            <w:pPr>
              <w:spacing w:line="300" w:lineRule="exact"/>
              <w:jc w:val="left"/>
              <w:rPr>
                <w:rFonts w:hint="eastAsia" w:ascii="宋体" w:hAnsi="宋体" w:eastAsia="宋体" w:cs="宋体"/>
                <w:sz w:val="24"/>
                <w:szCs w:val="24"/>
              </w:rPr>
            </w:pPr>
          </w:p>
          <w:p w14:paraId="3972C6DB">
            <w:pPr>
              <w:spacing w:line="300" w:lineRule="exact"/>
              <w:jc w:val="left"/>
              <w:rPr>
                <w:rFonts w:hint="eastAsia" w:ascii="宋体" w:hAnsi="宋体" w:eastAsia="宋体" w:cs="宋体"/>
                <w:sz w:val="24"/>
                <w:szCs w:val="24"/>
              </w:rPr>
            </w:pPr>
          </w:p>
          <w:p w14:paraId="69763E19">
            <w:pPr>
              <w:spacing w:line="300" w:lineRule="exact"/>
              <w:jc w:val="left"/>
              <w:rPr>
                <w:rFonts w:hint="eastAsia" w:ascii="宋体" w:hAnsi="宋体" w:eastAsia="宋体" w:cs="宋体"/>
                <w:sz w:val="24"/>
                <w:szCs w:val="24"/>
              </w:rPr>
            </w:pPr>
            <w:r>
              <w:rPr>
                <w:rFonts w:hint="eastAsia" w:ascii="宋体" w:hAnsi="宋体" w:eastAsia="宋体" w:cs="宋体"/>
                <w:sz w:val="24"/>
                <w:szCs w:val="24"/>
              </w:rPr>
              <w:t>102中国人民政治协商会议河北省沙河市委员会</w:t>
            </w:r>
          </w:p>
        </w:tc>
        <w:tc>
          <w:tcPr>
            <w:tcW w:w="2846" w:type="dxa"/>
            <w:gridSpan w:val="4"/>
            <w:tcBorders>
              <w:top w:val="single" w:color="FFFFFF" w:sz="6" w:space="0"/>
              <w:left w:val="single" w:color="FFFFFF" w:sz="6" w:space="0"/>
              <w:right w:val="single" w:color="FFFFFF" w:sz="6" w:space="0"/>
            </w:tcBorders>
            <w:vAlign w:val="center"/>
          </w:tcPr>
          <w:p w14:paraId="1D7D92DB">
            <w:pPr>
              <w:spacing w:line="300" w:lineRule="exact"/>
              <w:jc w:val="right"/>
              <w:rPr>
                <w:rFonts w:hint="eastAsia" w:ascii="宋体" w:hAnsi="宋体" w:eastAsia="宋体" w:cs="宋体"/>
                <w:sz w:val="24"/>
                <w:szCs w:val="24"/>
              </w:rPr>
            </w:pPr>
            <w:r>
              <w:rPr>
                <w:rFonts w:hint="eastAsia" w:ascii="宋体" w:hAnsi="宋体" w:eastAsia="宋体" w:cs="宋体"/>
                <w:sz w:val="24"/>
                <w:szCs w:val="24"/>
              </w:rPr>
              <w:t>单位：万元</w:t>
            </w:r>
          </w:p>
        </w:tc>
      </w:tr>
      <w:tr w14:paraId="6678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251" w:type="dxa"/>
            <w:vMerge w:val="restart"/>
            <w:vAlign w:val="center"/>
          </w:tcPr>
          <w:p w14:paraId="2557788C">
            <w:pPr>
              <w:spacing w:line="300" w:lineRule="exact"/>
              <w:jc w:val="center"/>
              <w:rPr>
                <w:rFonts w:hint="eastAsia" w:ascii="宋体" w:hAnsi="宋体" w:eastAsia="宋体" w:cs="宋体"/>
                <w:b/>
                <w:bCs/>
              </w:rPr>
            </w:pPr>
            <w:r>
              <w:rPr>
                <w:rFonts w:hint="eastAsia" w:ascii="宋体" w:hAnsi="宋体" w:eastAsia="宋体" w:cs="宋体"/>
                <w:b/>
                <w:bCs/>
              </w:rPr>
              <w:t>职责活动</w:t>
            </w:r>
          </w:p>
        </w:tc>
        <w:tc>
          <w:tcPr>
            <w:tcW w:w="1487" w:type="dxa"/>
            <w:vMerge w:val="restart"/>
            <w:vAlign w:val="center"/>
          </w:tcPr>
          <w:p w14:paraId="218140C1">
            <w:pPr>
              <w:spacing w:line="300" w:lineRule="exact"/>
              <w:jc w:val="center"/>
              <w:rPr>
                <w:rFonts w:hint="eastAsia" w:ascii="宋体" w:hAnsi="宋体" w:eastAsia="宋体" w:cs="宋体"/>
                <w:b/>
                <w:bCs/>
              </w:rPr>
            </w:pPr>
            <w:r>
              <w:rPr>
                <w:rFonts w:hint="eastAsia" w:ascii="宋体" w:hAnsi="宋体" w:eastAsia="宋体" w:cs="宋体"/>
                <w:b/>
                <w:bCs/>
              </w:rPr>
              <w:t>年度预算数</w:t>
            </w:r>
          </w:p>
        </w:tc>
        <w:tc>
          <w:tcPr>
            <w:tcW w:w="1893" w:type="dxa"/>
            <w:vMerge w:val="restart"/>
            <w:vAlign w:val="center"/>
          </w:tcPr>
          <w:p w14:paraId="42179EA5">
            <w:pPr>
              <w:spacing w:line="300" w:lineRule="exact"/>
              <w:jc w:val="center"/>
              <w:rPr>
                <w:rFonts w:hint="eastAsia" w:ascii="宋体" w:hAnsi="宋体" w:eastAsia="宋体" w:cs="宋体"/>
                <w:b/>
                <w:bCs/>
              </w:rPr>
            </w:pPr>
            <w:r>
              <w:rPr>
                <w:rFonts w:hint="eastAsia" w:ascii="宋体" w:hAnsi="宋体" w:eastAsia="宋体" w:cs="宋体"/>
                <w:b/>
                <w:bCs/>
              </w:rPr>
              <w:t>内容描述</w:t>
            </w:r>
          </w:p>
        </w:tc>
        <w:tc>
          <w:tcPr>
            <w:tcW w:w="1592" w:type="dxa"/>
            <w:vMerge w:val="restart"/>
            <w:vAlign w:val="center"/>
          </w:tcPr>
          <w:p w14:paraId="4FB9FB17">
            <w:pPr>
              <w:spacing w:line="300" w:lineRule="exact"/>
              <w:jc w:val="center"/>
              <w:rPr>
                <w:rFonts w:hint="eastAsia" w:ascii="宋体" w:hAnsi="宋体" w:eastAsia="宋体" w:cs="宋体"/>
                <w:b/>
                <w:bCs/>
              </w:rPr>
            </w:pPr>
            <w:r>
              <w:rPr>
                <w:rFonts w:hint="eastAsia" w:ascii="宋体" w:hAnsi="宋体" w:eastAsia="宋体" w:cs="宋体"/>
                <w:b/>
                <w:bCs/>
              </w:rPr>
              <w:t>绩效目标</w:t>
            </w:r>
          </w:p>
        </w:tc>
        <w:tc>
          <w:tcPr>
            <w:tcW w:w="790" w:type="dxa"/>
            <w:vMerge w:val="restart"/>
            <w:vAlign w:val="center"/>
          </w:tcPr>
          <w:p w14:paraId="6B165B1E">
            <w:pPr>
              <w:spacing w:line="300" w:lineRule="exact"/>
              <w:jc w:val="center"/>
              <w:rPr>
                <w:rFonts w:hint="eastAsia" w:ascii="宋体" w:hAnsi="宋体" w:eastAsia="宋体" w:cs="宋体"/>
                <w:b/>
                <w:bCs/>
              </w:rPr>
            </w:pPr>
            <w:r>
              <w:rPr>
                <w:rFonts w:hint="eastAsia" w:ascii="宋体" w:hAnsi="宋体" w:eastAsia="宋体" w:cs="宋体"/>
                <w:b/>
                <w:bCs/>
              </w:rPr>
              <w:t>绩效指标</w:t>
            </w:r>
          </w:p>
        </w:tc>
        <w:tc>
          <w:tcPr>
            <w:tcW w:w="2846" w:type="dxa"/>
            <w:gridSpan w:val="4"/>
            <w:vAlign w:val="center"/>
          </w:tcPr>
          <w:p w14:paraId="64DA9D78">
            <w:pPr>
              <w:spacing w:line="300" w:lineRule="exact"/>
              <w:jc w:val="center"/>
              <w:rPr>
                <w:rFonts w:hint="eastAsia" w:ascii="宋体" w:hAnsi="宋体" w:eastAsia="宋体" w:cs="宋体"/>
                <w:b/>
                <w:bCs/>
              </w:rPr>
            </w:pPr>
            <w:r>
              <w:rPr>
                <w:rFonts w:hint="eastAsia" w:ascii="宋体" w:hAnsi="宋体" w:eastAsia="宋体" w:cs="宋体"/>
                <w:b/>
                <w:bCs/>
              </w:rPr>
              <w:t>评价标准</w:t>
            </w:r>
          </w:p>
        </w:tc>
      </w:tr>
      <w:tr w14:paraId="42DD5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251" w:type="dxa"/>
            <w:vMerge w:val="continue"/>
            <w:vAlign w:val="center"/>
          </w:tcPr>
          <w:p w14:paraId="450B2502">
            <w:pPr>
              <w:rPr>
                <w:rFonts w:hint="eastAsia" w:ascii="宋体" w:hAnsi="宋体" w:eastAsia="宋体" w:cs="宋体"/>
                <w:sz w:val="20"/>
                <w:szCs w:val="20"/>
              </w:rPr>
            </w:pPr>
          </w:p>
        </w:tc>
        <w:tc>
          <w:tcPr>
            <w:tcW w:w="1487" w:type="dxa"/>
            <w:vMerge w:val="continue"/>
            <w:vAlign w:val="center"/>
          </w:tcPr>
          <w:p w14:paraId="0BEF7C01">
            <w:pPr>
              <w:rPr>
                <w:rFonts w:hint="eastAsia" w:ascii="宋体" w:hAnsi="宋体" w:eastAsia="宋体" w:cs="宋体"/>
                <w:sz w:val="20"/>
                <w:szCs w:val="20"/>
              </w:rPr>
            </w:pPr>
          </w:p>
        </w:tc>
        <w:tc>
          <w:tcPr>
            <w:tcW w:w="1893" w:type="dxa"/>
            <w:vMerge w:val="continue"/>
            <w:vAlign w:val="center"/>
          </w:tcPr>
          <w:p w14:paraId="700747C4">
            <w:pPr>
              <w:rPr>
                <w:rFonts w:hint="eastAsia" w:ascii="宋体" w:hAnsi="宋体" w:eastAsia="宋体" w:cs="宋体"/>
                <w:sz w:val="20"/>
                <w:szCs w:val="20"/>
              </w:rPr>
            </w:pPr>
          </w:p>
        </w:tc>
        <w:tc>
          <w:tcPr>
            <w:tcW w:w="1592" w:type="dxa"/>
            <w:vMerge w:val="continue"/>
            <w:vAlign w:val="center"/>
          </w:tcPr>
          <w:p w14:paraId="484DCB95">
            <w:pPr>
              <w:rPr>
                <w:rFonts w:hint="eastAsia" w:ascii="宋体" w:hAnsi="宋体" w:eastAsia="宋体" w:cs="宋体"/>
                <w:sz w:val="20"/>
                <w:szCs w:val="20"/>
              </w:rPr>
            </w:pPr>
          </w:p>
        </w:tc>
        <w:tc>
          <w:tcPr>
            <w:tcW w:w="790" w:type="dxa"/>
            <w:vMerge w:val="continue"/>
            <w:vAlign w:val="center"/>
          </w:tcPr>
          <w:p w14:paraId="7BD4B573">
            <w:pPr>
              <w:rPr>
                <w:rFonts w:hint="eastAsia" w:ascii="宋体" w:hAnsi="宋体" w:eastAsia="宋体" w:cs="宋体"/>
                <w:sz w:val="20"/>
                <w:szCs w:val="20"/>
              </w:rPr>
            </w:pPr>
          </w:p>
        </w:tc>
        <w:tc>
          <w:tcPr>
            <w:tcW w:w="811" w:type="dxa"/>
            <w:vAlign w:val="center"/>
          </w:tcPr>
          <w:p w14:paraId="311EEE02">
            <w:pPr>
              <w:spacing w:line="300" w:lineRule="exact"/>
              <w:jc w:val="center"/>
              <w:rPr>
                <w:rFonts w:hint="eastAsia" w:ascii="宋体" w:hAnsi="宋体" w:eastAsia="宋体" w:cs="宋体"/>
                <w:b/>
                <w:bCs/>
              </w:rPr>
            </w:pPr>
            <w:r>
              <w:rPr>
                <w:rFonts w:hint="eastAsia" w:ascii="宋体" w:hAnsi="宋体" w:eastAsia="宋体" w:cs="宋体"/>
                <w:b/>
                <w:bCs/>
              </w:rPr>
              <w:t>优</w:t>
            </w:r>
          </w:p>
        </w:tc>
        <w:tc>
          <w:tcPr>
            <w:tcW w:w="710" w:type="dxa"/>
            <w:vAlign w:val="center"/>
          </w:tcPr>
          <w:p w14:paraId="2CD68B8A">
            <w:pPr>
              <w:spacing w:line="300" w:lineRule="exact"/>
              <w:jc w:val="center"/>
              <w:rPr>
                <w:rFonts w:hint="eastAsia" w:ascii="宋体" w:hAnsi="宋体" w:eastAsia="宋体" w:cs="宋体"/>
                <w:b/>
                <w:bCs/>
              </w:rPr>
            </w:pPr>
            <w:r>
              <w:rPr>
                <w:rFonts w:hint="eastAsia" w:ascii="宋体" w:hAnsi="宋体" w:eastAsia="宋体" w:cs="宋体"/>
                <w:b/>
                <w:bCs/>
              </w:rPr>
              <w:t>良</w:t>
            </w:r>
          </w:p>
        </w:tc>
        <w:tc>
          <w:tcPr>
            <w:tcW w:w="710" w:type="dxa"/>
            <w:vAlign w:val="center"/>
          </w:tcPr>
          <w:p w14:paraId="4C4F7AB1">
            <w:pPr>
              <w:spacing w:line="300" w:lineRule="exact"/>
              <w:jc w:val="center"/>
              <w:rPr>
                <w:rFonts w:hint="eastAsia" w:ascii="宋体" w:hAnsi="宋体" w:eastAsia="宋体" w:cs="宋体"/>
                <w:b/>
                <w:bCs/>
              </w:rPr>
            </w:pPr>
            <w:r>
              <w:rPr>
                <w:rFonts w:hint="eastAsia" w:ascii="宋体" w:hAnsi="宋体" w:eastAsia="宋体" w:cs="宋体"/>
                <w:b/>
                <w:bCs/>
              </w:rPr>
              <w:t>中</w:t>
            </w:r>
          </w:p>
        </w:tc>
        <w:tc>
          <w:tcPr>
            <w:tcW w:w="615" w:type="dxa"/>
            <w:vAlign w:val="center"/>
          </w:tcPr>
          <w:p w14:paraId="16EBAC66">
            <w:pPr>
              <w:spacing w:line="300" w:lineRule="exact"/>
              <w:jc w:val="center"/>
              <w:rPr>
                <w:rFonts w:hint="eastAsia" w:ascii="宋体" w:hAnsi="宋体" w:eastAsia="宋体" w:cs="宋体"/>
                <w:b/>
                <w:bCs/>
              </w:rPr>
            </w:pPr>
            <w:r>
              <w:rPr>
                <w:rFonts w:hint="eastAsia" w:ascii="宋体" w:hAnsi="宋体" w:eastAsia="宋体" w:cs="宋体"/>
                <w:b/>
                <w:bCs/>
              </w:rPr>
              <w:t>差</w:t>
            </w:r>
          </w:p>
        </w:tc>
      </w:tr>
      <w:tr w14:paraId="0DAF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8" w:hRule="atLeast"/>
          <w:jc w:val="center"/>
        </w:trPr>
        <w:tc>
          <w:tcPr>
            <w:tcW w:w="2251" w:type="dxa"/>
            <w:vAlign w:val="center"/>
          </w:tcPr>
          <w:p w14:paraId="77E532FD">
            <w:pPr>
              <w:spacing w:line="300" w:lineRule="exact"/>
              <w:ind w:firstLine="422" w:firstLineChars="200"/>
              <w:jc w:val="left"/>
              <w:rPr>
                <w:rFonts w:hint="eastAsia" w:ascii="宋体" w:hAnsi="宋体" w:eastAsia="宋体" w:cs="宋体"/>
                <w:b/>
                <w:bCs/>
              </w:rPr>
            </w:pPr>
            <w:r>
              <w:rPr>
                <w:rFonts w:hint="eastAsia" w:ascii="宋体" w:hAnsi="宋体" w:eastAsia="宋体" w:cs="宋体"/>
                <w:b/>
                <w:bCs/>
              </w:rPr>
              <w:t>政治协商</w:t>
            </w:r>
          </w:p>
        </w:tc>
        <w:tc>
          <w:tcPr>
            <w:tcW w:w="1487" w:type="dxa"/>
            <w:vAlign w:val="center"/>
          </w:tcPr>
          <w:p w14:paraId="1961DF58">
            <w:pPr>
              <w:spacing w:line="300" w:lineRule="exact"/>
              <w:jc w:val="left"/>
              <w:rPr>
                <w:rFonts w:hint="eastAsia" w:ascii="宋体" w:hAnsi="宋体" w:eastAsia="宋体" w:cs="宋体"/>
              </w:rPr>
            </w:pPr>
            <w:r>
              <w:rPr>
                <w:rFonts w:hint="eastAsia" w:ascii="宋体" w:hAnsi="宋体" w:eastAsia="宋体" w:cs="宋体"/>
              </w:rPr>
              <w:t>34.00</w:t>
            </w:r>
          </w:p>
        </w:tc>
        <w:tc>
          <w:tcPr>
            <w:tcW w:w="1893" w:type="dxa"/>
            <w:vAlign w:val="center"/>
          </w:tcPr>
          <w:p w14:paraId="180A4BEF">
            <w:pPr>
              <w:spacing w:line="300" w:lineRule="exact"/>
              <w:jc w:val="left"/>
              <w:rPr>
                <w:rFonts w:hint="eastAsia" w:ascii="宋体" w:hAnsi="宋体" w:eastAsia="宋体" w:cs="宋体"/>
              </w:rPr>
            </w:pPr>
            <w:r>
              <w:rPr>
                <w:rFonts w:hint="eastAsia" w:ascii="宋体" w:hAnsi="宋体" w:eastAsia="宋体" w:cs="宋体"/>
              </w:rPr>
              <w:t>就大政方针以及政治、经济、文化、社会和生态文明中的重要问题在决策之前进行协商和就决策执行过程中的重要问题进行协商。</w:t>
            </w:r>
          </w:p>
        </w:tc>
        <w:tc>
          <w:tcPr>
            <w:tcW w:w="1592" w:type="dxa"/>
            <w:vAlign w:val="center"/>
          </w:tcPr>
          <w:p w14:paraId="087FF8E6">
            <w:pPr>
              <w:spacing w:line="300" w:lineRule="exact"/>
              <w:jc w:val="left"/>
              <w:rPr>
                <w:rFonts w:hint="eastAsia" w:ascii="宋体" w:hAnsi="宋体" w:eastAsia="宋体" w:cs="宋体"/>
              </w:rPr>
            </w:pPr>
            <w:r>
              <w:rPr>
                <w:rFonts w:hint="eastAsia" w:ascii="宋体" w:hAnsi="宋体" w:eastAsia="宋体" w:cs="宋体"/>
              </w:rPr>
              <w:t>完善各项会议制度，规范会议程序，提高会议质量，提高政治协商水平。</w:t>
            </w:r>
          </w:p>
        </w:tc>
        <w:tc>
          <w:tcPr>
            <w:tcW w:w="790" w:type="dxa"/>
            <w:vAlign w:val="center"/>
          </w:tcPr>
          <w:p w14:paraId="74916D62">
            <w:pPr>
              <w:spacing w:line="300" w:lineRule="exact"/>
              <w:jc w:val="left"/>
              <w:rPr>
                <w:rFonts w:hint="eastAsia" w:ascii="宋体" w:hAnsi="宋体" w:eastAsia="宋体" w:cs="宋体"/>
              </w:rPr>
            </w:pPr>
          </w:p>
        </w:tc>
        <w:tc>
          <w:tcPr>
            <w:tcW w:w="811" w:type="dxa"/>
            <w:vAlign w:val="center"/>
          </w:tcPr>
          <w:p w14:paraId="2DBD3618">
            <w:pPr>
              <w:spacing w:line="300" w:lineRule="exact"/>
              <w:jc w:val="center"/>
              <w:rPr>
                <w:rFonts w:hint="eastAsia" w:ascii="宋体" w:hAnsi="宋体" w:eastAsia="宋体" w:cs="宋体"/>
              </w:rPr>
            </w:pPr>
          </w:p>
        </w:tc>
        <w:tc>
          <w:tcPr>
            <w:tcW w:w="710" w:type="dxa"/>
            <w:vAlign w:val="center"/>
          </w:tcPr>
          <w:p w14:paraId="07BC60CA">
            <w:pPr>
              <w:spacing w:line="300" w:lineRule="exact"/>
              <w:jc w:val="center"/>
              <w:rPr>
                <w:rFonts w:hint="eastAsia" w:ascii="宋体" w:hAnsi="宋体" w:eastAsia="宋体" w:cs="宋体"/>
              </w:rPr>
            </w:pPr>
          </w:p>
        </w:tc>
        <w:tc>
          <w:tcPr>
            <w:tcW w:w="710" w:type="dxa"/>
            <w:vAlign w:val="center"/>
          </w:tcPr>
          <w:p w14:paraId="2D874AE4">
            <w:pPr>
              <w:spacing w:line="300" w:lineRule="exact"/>
              <w:jc w:val="center"/>
              <w:rPr>
                <w:rFonts w:hint="eastAsia" w:ascii="宋体" w:hAnsi="宋体" w:eastAsia="宋体" w:cs="宋体"/>
              </w:rPr>
            </w:pPr>
          </w:p>
        </w:tc>
        <w:tc>
          <w:tcPr>
            <w:tcW w:w="615" w:type="dxa"/>
            <w:vAlign w:val="center"/>
          </w:tcPr>
          <w:p w14:paraId="24128BC7">
            <w:pPr>
              <w:spacing w:line="300" w:lineRule="exact"/>
              <w:jc w:val="center"/>
              <w:rPr>
                <w:rFonts w:hint="eastAsia" w:ascii="宋体" w:hAnsi="宋体" w:eastAsia="宋体" w:cs="宋体"/>
              </w:rPr>
            </w:pPr>
          </w:p>
        </w:tc>
      </w:tr>
      <w:tr w14:paraId="298CE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1" w:hRule="atLeast"/>
          <w:jc w:val="center"/>
        </w:trPr>
        <w:tc>
          <w:tcPr>
            <w:tcW w:w="2251" w:type="dxa"/>
            <w:vMerge w:val="restart"/>
            <w:vAlign w:val="center"/>
          </w:tcPr>
          <w:p w14:paraId="4D1ADA9B">
            <w:pPr>
              <w:spacing w:line="300" w:lineRule="exact"/>
              <w:jc w:val="left"/>
              <w:rPr>
                <w:rFonts w:hint="eastAsia" w:ascii="宋体" w:hAnsi="宋体" w:eastAsia="宋体" w:cs="宋体"/>
                <w:b/>
                <w:bCs/>
              </w:rPr>
            </w:pPr>
            <w:r>
              <w:rPr>
                <w:rFonts w:hint="eastAsia" w:ascii="宋体" w:hAnsi="宋体" w:eastAsia="宋体" w:cs="宋体"/>
                <w:b/>
                <w:bCs/>
              </w:rPr>
              <w:t>　　政协会议</w:t>
            </w:r>
          </w:p>
        </w:tc>
        <w:tc>
          <w:tcPr>
            <w:tcW w:w="1487" w:type="dxa"/>
            <w:vMerge w:val="restart"/>
            <w:vAlign w:val="center"/>
          </w:tcPr>
          <w:p w14:paraId="5CAC5EB7">
            <w:pPr>
              <w:spacing w:line="300" w:lineRule="exact"/>
              <w:jc w:val="left"/>
              <w:rPr>
                <w:rFonts w:hint="eastAsia" w:ascii="宋体" w:hAnsi="宋体" w:eastAsia="宋体" w:cs="宋体"/>
              </w:rPr>
            </w:pPr>
            <w:r>
              <w:rPr>
                <w:rFonts w:hint="eastAsia" w:ascii="宋体" w:hAnsi="宋体" w:eastAsia="宋体" w:cs="宋体"/>
              </w:rPr>
              <w:t>34.00</w:t>
            </w:r>
          </w:p>
        </w:tc>
        <w:tc>
          <w:tcPr>
            <w:tcW w:w="1893" w:type="dxa"/>
            <w:vMerge w:val="restart"/>
            <w:vAlign w:val="center"/>
          </w:tcPr>
          <w:p w14:paraId="38E28D84">
            <w:pPr>
              <w:spacing w:line="300" w:lineRule="exact"/>
              <w:jc w:val="left"/>
              <w:rPr>
                <w:rFonts w:hint="eastAsia" w:ascii="宋体" w:hAnsi="宋体" w:eastAsia="宋体" w:cs="宋体"/>
              </w:rPr>
            </w:pPr>
            <w:r>
              <w:rPr>
                <w:rFonts w:hint="eastAsia" w:ascii="宋体" w:hAnsi="宋体" w:eastAsia="宋体" w:cs="宋体"/>
              </w:rPr>
              <w:t>会议是人民政协履行职能的主要形式，是开展工作的主体，是委员履行自身职责的主要途径。包括全体会议、常委会议、主席会议、秘书长会议、各专委会会议等。</w:t>
            </w:r>
          </w:p>
        </w:tc>
        <w:tc>
          <w:tcPr>
            <w:tcW w:w="1592" w:type="dxa"/>
            <w:vMerge w:val="restart"/>
            <w:vAlign w:val="center"/>
          </w:tcPr>
          <w:p w14:paraId="56740B9A">
            <w:pPr>
              <w:spacing w:line="300" w:lineRule="exact"/>
              <w:jc w:val="left"/>
              <w:rPr>
                <w:rFonts w:hint="eastAsia" w:ascii="宋体" w:hAnsi="宋体" w:eastAsia="宋体" w:cs="宋体"/>
              </w:rPr>
            </w:pPr>
            <w:r>
              <w:rPr>
                <w:rFonts w:hint="eastAsia" w:ascii="宋体" w:hAnsi="宋体" w:eastAsia="宋体" w:cs="宋体"/>
              </w:rPr>
              <w:t>完善各项会议制度，规范会议程序，提高会议质量，提高政治协商水平。</w:t>
            </w:r>
          </w:p>
        </w:tc>
        <w:tc>
          <w:tcPr>
            <w:tcW w:w="790" w:type="dxa"/>
            <w:vAlign w:val="center"/>
          </w:tcPr>
          <w:p w14:paraId="544D6307">
            <w:pPr>
              <w:spacing w:line="300" w:lineRule="exact"/>
              <w:jc w:val="left"/>
              <w:rPr>
                <w:rFonts w:hint="eastAsia" w:ascii="宋体" w:hAnsi="宋体" w:eastAsia="宋体" w:cs="宋体"/>
              </w:rPr>
            </w:pPr>
            <w:r>
              <w:rPr>
                <w:rFonts w:hint="eastAsia" w:ascii="宋体" w:hAnsi="宋体" w:eastAsia="宋体" w:cs="宋体"/>
              </w:rPr>
              <w:t>会议筹备及会务工作的完成率</w:t>
            </w:r>
          </w:p>
        </w:tc>
        <w:tc>
          <w:tcPr>
            <w:tcW w:w="811" w:type="dxa"/>
            <w:vAlign w:val="center"/>
          </w:tcPr>
          <w:p w14:paraId="1ECCDFBD">
            <w:pPr>
              <w:spacing w:line="300" w:lineRule="exact"/>
              <w:jc w:val="center"/>
              <w:rPr>
                <w:rFonts w:hint="eastAsia" w:ascii="宋体" w:hAnsi="宋体" w:eastAsia="宋体" w:cs="宋体"/>
              </w:rPr>
            </w:pPr>
            <w:r>
              <w:rPr>
                <w:rFonts w:hint="eastAsia" w:ascii="宋体" w:hAnsi="宋体" w:eastAsia="宋体" w:cs="宋体"/>
              </w:rPr>
              <w:t>100%</w:t>
            </w:r>
          </w:p>
        </w:tc>
        <w:tc>
          <w:tcPr>
            <w:tcW w:w="710" w:type="dxa"/>
            <w:vAlign w:val="center"/>
          </w:tcPr>
          <w:p w14:paraId="59EA4A62">
            <w:pPr>
              <w:spacing w:line="300" w:lineRule="exact"/>
              <w:jc w:val="center"/>
              <w:rPr>
                <w:rFonts w:hint="eastAsia" w:ascii="宋体" w:hAnsi="宋体" w:eastAsia="宋体" w:cs="宋体"/>
              </w:rPr>
            </w:pPr>
            <w:r>
              <w:rPr>
                <w:rFonts w:hint="eastAsia" w:ascii="宋体" w:hAnsi="宋体" w:eastAsia="宋体" w:cs="宋体"/>
              </w:rPr>
              <w:t>≥95%</w:t>
            </w:r>
          </w:p>
        </w:tc>
        <w:tc>
          <w:tcPr>
            <w:tcW w:w="710" w:type="dxa"/>
            <w:vAlign w:val="center"/>
          </w:tcPr>
          <w:p w14:paraId="582E827F">
            <w:pPr>
              <w:spacing w:line="300" w:lineRule="exact"/>
              <w:jc w:val="center"/>
              <w:rPr>
                <w:rFonts w:hint="eastAsia" w:ascii="宋体" w:hAnsi="宋体" w:eastAsia="宋体" w:cs="宋体"/>
              </w:rPr>
            </w:pPr>
            <w:r>
              <w:rPr>
                <w:rFonts w:hint="eastAsia" w:ascii="宋体" w:hAnsi="宋体" w:eastAsia="宋体" w:cs="宋体"/>
              </w:rPr>
              <w:t>≥90%</w:t>
            </w:r>
          </w:p>
        </w:tc>
        <w:tc>
          <w:tcPr>
            <w:tcW w:w="615" w:type="dxa"/>
            <w:vAlign w:val="center"/>
          </w:tcPr>
          <w:p w14:paraId="33B14E1A">
            <w:pPr>
              <w:spacing w:line="300" w:lineRule="exact"/>
              <w:jc w:val="center"/>
              <w:rPr>
                <w:rFonts w:hint="eastAsia" w:ascii="宋体" w:hAnsi="宋体" w:eastAsia="宋体" w:cs="宋体"/>
              </w:rPr>
            </w:pPr>
            <w:r>
              <w:rPr>
                <w:rFonts w:hint="eastAsia" w:ascii="宋体" w:hAnsi="宋体" w:eastAsia="宋体" w:cs="宋体"/>
              </w:rPr>
              <w:t>&lt;90%</w:t>
            </w:r>
          </w:p>
        </w:tc>
      </w:tr>
      <w:tr w14:paraId="673A7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7" w:hRule="atLeast"/>
          <w:jc w:val="center"/>
        </w:trPr>
        <w:tc>
          <w:tcPr>
            <w:tcW w:w="2251" w:type="dxa"/>
            <w:vMerge w:val="continue"/>
            <w:vAlign w:val="center"/>
          </w:tcPr>
          <w:p w14:paraId="3639AEFA">
            <w:pPr>
              <w:rPr>
                <w:rFonts w:hint="eastAsia" w:ascii="宋体" w:hAnsi="宋体" w:eastAsia="宋体" w:cs="宋体"/>
                <w:sz w:val="20"/>
                <w:szCs w:val="20"/>
              </w:rPr>
            </w:pPr>
          </w:p>
        </w:tc>
        <w:tc>
          <w:tcPr>
            <w:tcW w:w="1487" w:type="dxa"/>
            <w:vMerge w:val="continue"/>
            <w:vAlign w:val="center"/>
          </w:tcPr>
          <w:p w14:paraId="6C00495D">
            <w:pPr>
              <w:rPr>
                <w:rFonts w:hint="eastAsia" w:ascii="宋体" w:hAnsi="宋体" w:eastAsia="宋体" w:cs="宋体"/>
                <w:sz w:val="20"/>
                <w:szCs w:val="20"/>
              </w:rPr>
            </w:pPr>
          </w:p>
        </w:tc>
        <w:tc>
          <w:tcPr>
            <w:tcW w:w="1893" w:type="dxa"/>
            <w:vMerge w:val="continue"/>
            <w:vAlign w:val="center"/>
          </w:tcPr>
          <w:p w14:paraId="29FF08CE">
            <w:pPr>
              <w:rPr>
                <w:rFonts w:hint="eastAsia" w:ascii="宋体" w:hAnsi="宋体" w:eastAsia="宋体" w:cs="宋体"/>
                <w:sz w:val="20"/>
                <w:szCs w:val="20"/>
              </w:rPr>
            </w:pPr>
          </w:p>
        </w:tc>
        <w:tc>
          <w:tcPr>
            <w:tcW w:w="1592" w:type="dxa"/>
            <w:vMerge w:val="continue"/>
            <w:vAlign w:val="center"/>
          </w:tcPr>
          <w:p w14:paraId="60A56765">
            <w:pPr>
              <w:rPr>
                <w:rFonts w:hint="eastAsia" w:ascii="宋体" w:hAnsi="宋体" w:eastAsia="宋体" w:cs="宋体"/>
                <w:sz w:val="20"/>
                <w:szCs w:val="20"/>
              </w:rPr>
            </w:pPr>
          </w:p>
        </w:tc>
        <w:tc>
          <w:tcPr>
            <w:tcW w:w="790" w:type="dxa"/>
            <w:vAlign w:val="center"/>
          </w:tcPr>
          <w:p w14:paraId="3996F55C">
            <w:pPr>
              <w:spacing w:line="300" w:lineRule="exact"/>
              <w:jc w:val="left"/>
              <w:rPr>
                <w:rFonts w:hint="eastAsia" w:ascii="宋体" w:hAnsi="宋体" w:eastAsia="宋体" w:cs="宋体"/>
              </w:rPr>
            </w:pPr>
            <w:r>
              <w:rPr>
                <w:rFonts w:hint="eastAsia" w:ascii="宋体" w:hAnsi="宋体" w:eastAsia="宋体" w:cs="宋体"/>
              </w:rPr>
              <w:t>政治任务实现率</w:t>
            </w:r>
          </w:p>
        </w:tc>
        <w:tc>
          <w:tcPr>
            <w:tcW w:w="811" w:type="dxa"/>
            <w:vAlign w:val="center"/>
          </w:tcPr>
          <w:p w14:paraId="26C8BE81">
            <w:pPr>
              <w:spacing w:line="300" w:lineRule="exact"/>
              <w:jc w:val="center"/>
              <w:rPr>
                <w:rFonts w:hint="eastAsia" w:ascii="宋体" w:hAnsi="宋体" w:eastAsia="宋体" w:cs="宋体"/>
              </w:rPr>
            </w:pPr>
            <w:r>
              <w:rPr>
                <w:rFonts w:hint="eastAsia" w:ascii="宋体" w:hAnsi="宋体" w:eastAsia="宋体" w:cs="宋体"/>
              </w:rPr>
              <w:t>100%</w:t>
            </w:r>
          </w:p>
        </w:tc>
        <w:tc>
          <w:tcPr>
            <w:tcW w:w="710" w:type="dxa"/>
            <w:vAlign w:val="center"/>
          </w:tcPr>
          <w:p w14:paraId="0577E515">
            <w:pPr>
              <w:spacing w:line="300" w:lineRule="exact"/>
              <w:jc w:val="center"/>
              <w:rPr>
                <w:rFonts w:hint="eastAsia" w:ascii="宋体" w:hAnsi="宋体" w:eastAsia="宋体" w:cs="宋体"/>
              </w:rPr>
            </w:pPr>
            <w:r>
              <w:rPr>
                <w:rFonts w:hint="eastAsia" w:ascii="宋体" w:hAnsi="宋体" w:eastAsia="宋体" w:cs="宋体"/>
              </w:rPr>
              <w:t>≥95%</w:t>
            </w:r>
          </w:p>
        </w:tc>
        <w:tc>
          <w:tcPr>
            <w:tcW w:w="710" w:type="dxa"/>
            <w:vAlign w:val="center"/>
          </w:tcPr>
          <w:p w14:paraId="4CADF171">
            <w:pPr>
              <w:spacing w:line="300" w:lineRule="exact"/>
              <w:jc w:val="center"/>
              <w:rPr>
                <w:rFonts w:hint="eastAsia" w:ascii="宋体" w:hAnsi="宋体" w:eastAsia="宋体" w:cs="宋体"/>
              </w:rPr>
            </w:pPr>
            <w:r>
              <w:rPr>
                <w:rFonts w:hint="eastAsia" w:ascii="宋体" w:hAnsi="宋体" w:eastAsia="宋体" w:cs="宋体"/>
              </w:rPr>
              <w:t>≥90%</w:t>
            </w:r>
          </w:p>
        </w:tc>
        <w:tc>
          <w:tcPr>
            <w:tcW w:w="615" w:type="dxa"/>
            <w:vAlign w:val="center"/>
          </w:tcPr>
          <w:p w14:paraId="67F8BEAA">
            <w:pPr>
              <w:spacing w:line="300" w:lineRule="exact"/>
              <w:jc w:val="center"/>
              <w:rPr>
                <w:rFonts w:hint="eastAsia" w:ascii="宋体" w:hAnsi="宋体" w:eastAsia="宋体" w:cs="宋体"/>
              </w:rPr>
            </w:pPr>
            <w:r>
              <w:rPr>
                <w:rFonts w:hint="eastAsia" w:ascii="宋体" w:hAnsi="宋体" w:eastAsia="宋体" w:cs="宋体"/>
              </w:rPr>
              <w:t>&lt;90%</w:t>
            </w:r>
          </w:p>
        </w:tc>
      </w:tr>
      <w:tr w14:paraId="251D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7" w:hRule="atLeast"/>
          <w:jc w:val="center"/>
        </w:trPr>
        <w:tc>
          <w:tcPr>
            <w:tcW w:w="2251" w:type="dxa"/>
            <w:vAlign w:val="center"/>
          </w:tcPr>
          <w:p w14:paraId="05C57FC1">
            <w:pPr>
              <w:spacing w:line="300" w:lineRule="exact"/>
              <w:jc w:val="left"/>
              <w:rPr>
                <w:rFonts w:hint="eastAsia" w:ascii="宋体" w:hAnsi="宋体" w:eastAsia="宋体" w:cs="宋体"/>
                <w:b/>
                <w:bCs/>
              </w:rPr>
            </w:pPr>
            <w:r>
              <w:rPr>
                <w:rFonts w:hint="eastAsia" w:ascii="宋体" w:hAnsi="宋体" w:eastAsia="宋体" w:cs="宋体"/>
                <w:b/>
                <w:bCs/>
              </w:rPr>
              <w:t>　　民主协商</w:t>
            </w:r>
          </w:p>
        </w:tc>
        <w:tc>
          <w:tcPr>
            <w:tcW w:w="1487" w:type="dxa"/>
            <w:vAlign w:val="center"/>
          </w:tcPr>
          <w:p w14:paraId="36F03C99">
            <w:pPr>
              <w:spacing w:line="300" w:lineRule="exact"/>
              <w:jc w:val="left"/>
              <w:rPr>
                <w:rFonts w:hint="eastAsia" w:ascii="宋体" w:hAnsi="宋体" w:eastAsia="宋体" w:cs="宋体"/>
              </w:rPr>
            </w:pPr>
          </w:p>
        </w:tc>
        <w:tc>
          <w:tcPr>
            <w:tcW w:w="1893" w:type="dxa"/>
            <w:vAlign w:val="center"/>
          </w:tcPr>
          <w:p w14:paraId="3C95D4B7">
            <w:pPr>
              <w:spacing w:line="300" w:lineRule="exact"/>
              <w:jc w:val="left"/>
              <w:rPr>
                <w:rFonts w:hint="eastAsia" w:ascii="宋体" w:hAnsi="宋体" w:eastAsia="宋体" w:cs="宋体"/>
              </w:rPr>
            </w:pPr>
            <w:r>
              <w:rPr>
                <w:rFonts w:hint="eastAsia" w:ascii="宋体" w:hAnsi="宋体" w:eastAsia="宋体" w:cs="宋体"/>
              </w:rPr>
              <w:t>根据形势、任务和党委政府统一部署，安排协商活动，召开专题协商会、协商民主会、专题座谈会、情况通报会、意见听取会、工作研讨会和学习座谈会等。</w:t>
            </w:r>
          </w:p>
        </w:tc>
        <w:tc>
          <w:tcPr>
            <w:tcW w:w="1592" w:type="dxa"/>
            <w:vAlign w:val="center"/>
          </w:tcPr>
          <w:p w14:paraId="5A1E7A7E">
            <w:pPr>
              <w:spacing w:line="300" w:lineRule="exact"/>
              <w:jc w:val="left"/>
              <w:rPr>
                <w:rFonts w:hint="eastAsia" w:ascii="宋体" w:hAnsi="宋体" w:eastAsia="宋体" w:cs="宋体"/>
              </w:rPr>
            </w:pPr>
            <w:r>
              <w:rPr>
                <w:rFonts w:hint="eastAsia" w:ascii="宋体" w:hAnsi="宋体" w:eastAsia="宋体" w:cs="宋体"/>
              </w:rPr>
              <w:t>增强开展政治协商的自觉性和主动性，规范协商内容，丰富协商形式和层次，把政治协商纳入决策程序。</w:t>
            </w:r>
          </w:p>
        </w:tc>
        <w:tc>
          <w:tcPr>
            <w:tcW w:w="790" w:type="dxa"/>
            <w:vAlign w:val="center"/>
          </w:tcPr>
          <w:p w14:paraId="1D4100E4">
            <w:pPr>
              <w:spacing w:line="300" w:lineRule="exact"/>
              <w:jc w:val="left"/>
              <w:rPr>
                <w:rFonts w:hint="eastAsia" w:ascii="宋体" w:hAnsi="宋体" w:eastAsia="宋体" w:cs="宋体"/>
              </w:rPr>
            </w:pPr>
            <w:r>
              <w:rPr>
                <w:rFonts w:hint="eastAsia" w:ascii="宋体" w:hAnsi="宋体" w:eastAsia="宋体" w:cs="宋体"/>
              </w:rPr>
              <w:t>专题协商活动完成率</w:t>
            </w:r>
          </w:p>
        </w:tc>
        <w:tc>
          <w:tcPr>
            <w:tcW w:w="811" w:type="dxa"/>
            <w:vAlign w:val="center"/>
          </w:tcPr>
          <w:p w14:paraId="2657998A">
            <w:pPr>
              <w:spacing w:line="300" w:lineRule="exact"/>
              <w:jc w:val="center"/>
              <w:rPr>
                <w:rFonts w:hint="eastAsia" w:ascii="宋体" w:hAnsi="宋体" w:eastAsia="宋体" w:cs="宋体"/>
              </w:rPr>
            </w:pPr>
            <w:r>
              <w:rPr>
                <w:rFonts w:hint="eastAsia" w:ascii="宋体" w:hAnsi="宋体" w:eastAsia="宋体" w:cs="宋体"/>
              </w:rPr>
              <w:t>100%</w:t>
            </w:r>
          </w:p>
        </w:tc>
        <w:tc>
          <w:tcPr>
            <w:tcW w:w="710" w:type="dxa"/>
            <w:vAlign w:val="center"/>
          </w:tcPr>
          <w:p w14:paraId="7CFF31F6">
            <w:pPr>
              <w:spacing w:line="300" w:lineRule="exact"/>
              <w:jc w:val="center"/>
              <w:rPr>
                <w:rFonts w:hint="eastAsia" w:ascii="宋体" w:hAnsi="宋体" w:eastAsia="宋体" w:cs="宋体"/>
              </w:rPr>
            </w:pPr>
            <w:r>
              <w:rPr>
                <w:rFonts w:hint="eastAsia" w:ascii="宋体" w:hAnsi="宋体" w:eastAsia="宋体" w:cs="宋体"/>
              </w:rPr>
              <w:t>≥95%</w:t>
            </w:r>
          </w:p>
        </w:tc>
        <w:tc>
          <w:tcPr>
            <w:tcW w:w="710" w:type="dxa"/>
            <w:vAlign w:val="center"/>
          </w:tcPr>
          <w:p w14:paraId="37C520F2">
            <w:pPr>
              <w:spacing w:line="300" w:lineRule="exact"/>
              <w:jc w:val="center"/>
              <w:rPr>
                <w:rFonts w:hint="eastAsia" w:ascii="宋体" w:hAnsi="宋体" w:eastAsia="宋体" w:cs="宋体"/>
              </w:rPr>
            </w:pPr>
            <w:r>
              <w:rPr>
                <w:rFonts w:hint="eastAsia" w:ascii="宋体" w:hAnsi="宋体" w:eastAsia="宋体" w:cs="宋体"/>
              </w:rPr>
              <w:t>≥90%</w:t>
            </w:r>
          </w:p>
        </w:tc>
        <w:tc>
          <w:tcPr>
            <w:tcW w:w="615" w:type="dxa"/>
            <w:vAlign w:val="center"/>
          </w:tcPr>
          <w:p w14:paraId="1CF20B23">
            <w:pPr>
              <w:spacing w:line="300" w:lineRule="exact"/>
              <w:jc w:val="center"/>
              <w:rPr>
                <w:rFonts w:hint="eastAsia" w:ascii="宋体" w:hAnsi="宋体" w:eastAsia="宋体" w:cs="宋体"/>
              </w:rPr>
            </w:pPr>
            <w:r>
              <w:rPr>
                <w:rFonts w:hint="eastAsia" w:ascii="宋体" w:hAnsi="宋体" w:eastAsia="宋体" w:cs="宋体"/>
              </w:rPr>
              <w:t>&lt;90%</w:t>
            </w:r>
          </w:p>
        </w:tc>
      </w:tr>
      <w:tr w14:paraId="5832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4" w:hRule="atLeast"/>
          <w:jc w:val="center"/>
        </w:trPr>
        <w:tc>
          <w:tcPr>
            <w:tcW w:w="2251" w:type="dxa"/>
            <w:vAlign w:val="center"/>
          </w:tcPr>
          <w:p w14:paraId="53E4C8A2">
            <w:pPr>
              <w:spacing w:line="300" w:lineRule="exact"/>
              <w:ind w:firstLine="422" w:firstLineChars="200"/>
              <w:jc w:val="left"/>
              <w:rPr>
                <w:rFonts w:hint="eastAsia" w:ascii="宋体" w:hAnsi="宋体" w:eastAsia="宋体" w:cs="宋体"/>
                <w:b/>
                <w:bCs/>
              </w:rPr>
            </w:pPr>
            <w:r>
              <w:rPr>
                <w:rFonts w:hint="eastAsia" w:ascii="宋体" w:hAnsi="宋体" w:eastAsia="宋体" w:cs="宋体"/>
                <w:b/>
                <w:bCs/>
              </w:rPr>
              <w:t>民主监督</w:t>
            </w:r>
          </w:p>
        </w:tc>
        <w:tc>
          <w:tcPr>
            <w:tcW w:w="1487" w:type="dxa"/>
            <w:vAlign w:val="center"/>
          </w:tcPr>
          <w:p w14:paraId="557BD859">
            <w:pPr>
              <w:spacing w:line="300" w:lineRule="exact"/>
              <w:jc w:val="left"/>
              <w:rPr>
                <w:rFonts w:hint="eastAsia" w:ascii="宋体" w:hAnsi="宋体" w:eastAsia="宋体" w:cs="宋体"/>
              </w:rPr>
            </w:pPr>
          </w:p>
        </w:tc>
        <w:tc>
          <w:tcPr>
            <w:tcW w:w="1893" w:type="dxa"/>
            <w:vAlign w:val="center"/>
          </w:tcPr>
          <w:p w14:paraId="0077AF1A">
            <w:pPr>
              <w:spacing w:line="300" w:lineRule="exact"/>
              <w:jc w:val="left"/>
              <w:rPr>
                <w:rFonts w:hint="eastAsia" w:ascii="宋体" w:hAnsi="宋体" w:eastAsia="宋体" w:cs="宋体"/>
              </w:rPr>
            </w:pPr>
            <w:r>
              <w:rPr>
                <w:rFonts w:hint="eastAsia" w:ascii="宋体" w:hAnsi="宋体" w:eastAsia="宋体" w:cs="宋体"/>
              </w:rPr>
              <w:t>有效履行民主监督职责，发挥好协调关系、汇聚力量、建言献策、服务大局的作用。通过意见、建议、批评的方式对国家法律法规的实施、重大方针政策的贯彻执行、党和政府的工作进行政治监督。</w:t>
            </w:r>
          </w:p>
        </w:tc>
        <w:tc>
          <w:tcPr>
            <w:tcW w:w="1592" w:type="dxa"/>
            <w:vAlign w:val="center"/>
          </w:tcPr>
          <w:p w14:paraId="10826FDE">
            <w:pPr>
              <w:spacing w:line="300" w:lineRule="exact"/>
              <w:jc w:val="left"/>
              <w:rPr>
                <w:rFonts w:hint="eastAsia" w:ascii="宋体" w:hAnsi="宋体" w:eastAsia="宋体" w:cs="宋体"/>
              </w:rPr>
            </w:pPr>
            <w:r>
              <w:rPr>
                <w:rFonts w:hint="eastAsia" w:ascii="宋体" w:hAnsi="宋体" w:eastAsia="宋体" w:cs="宋体"/>
              </w:rPr>
              <w:t>完善民主监督机制，畅通民主监督渠道，建立健全知情、沟通制度，将民主监督寓于委员提案、进行视察、参与工作检查等活动中，提高民主监督质量和成效。</w:t>
            </w:r>
          </w:p>
        </w:tc>
        <w:tc>
          <w:tcPr>
            <w:tcW w:w="790" w:type="dxa"/>
            <w:vAlign w:val="center"/>
          </w:tcPr>
          <w:p w14:paraId="4C6C6937">
            <w:pPr>
              <w:spacing w:line="300" w:lineRule="exact"/>
              <w:jc w:val="left"/>
              <w:rPr>
                <w:rFonts w:hint="eastAsia" w:ascii="宋体" w:hAnsi="宋体" w:eastAsia="宋体" w:cs="宋体"/>
              </w:rPr>
            </w:pPr>
          </w:p>
        </w:tc>
        <w:tc>
          <w:tcPr>
            <w:tcW w:w="811" w:type="dxa"/>
            <w:vAlign w:val="center"/>
          </w:tcPr>
          <w:p w14:paraId="09DC2336">
            <w:pPr>
              <w:spacing w:line="300" w:lineRule="exact"/>
              <w:jc w:val="center"/>
              <w:rPr>
                <w:rFonts w:hint="eastAsia" w:ascii="宋体" w:hAnsi="宋体" w:eastAsia="宋体" w:cs="宋体"/>
              </w:rPr>
            </w:pPr>
          </w:p>
        </w:tc>
        <w:tc>
          <w:tcPr>
            <w:tcW w:w="710" w:type="dxa"/>
            <w:vAlign w:val="center"/>
          </w:tcPr>
          <w:p w14:paraId="494CBDBF">
            <w:pPr>
              <w:spacing w:line="300" w:lineRule="exact"/>
              <w:jc w:val="center"/>
              <w:rPr>
                <w:rFonts w:hint="eastAsia" w:ascii="宋体" w:hAnsi="宋体" w:eastAsia="宋体" w:cs="宋体"/>
              </w:rPr>
            </w:pPr>
          </w:p>
        </w:tc>
        <w:tc>
          <w:tcPr>
            <w:tcW w:w="710" w:type="dxa"/>
            <w:vAlign w:val="center"/>
          </w:tcPr>
          <w:p w14:paraId="67052394">
            <w:pPr>
              <w:spacing w:line="300" w:lineRule="exact"/>
              <w:jc w:val="center"/>
              <w:rPr>
                <w:rFonts w:hint="eastAsia" w:ascii="宋体" w:hAnsi="宋体" w:eastAsia="宋体" w:cs="宋体"/>
              </w:rPr>
            </w:pPr>
          </w:p>
        </w:tc>
        <w:tc>
          <w:tcPr>
            <w:tcW w:w="615" w:type="dxa"/>
            <w:vAlign w:val="center"/>
          </w:tcPr>
          <w:p w14:paraId="271DE28C">
            <w:pPr>
              <w:spacing w:line="300" w:lineRule="exact"/>
              <w:jc w:val="center"/>
              <w:rPr>
                <w:rFonts w:hint="eastAsia" w:ascii="宋体" w:hAnsi="宋体" w:eastAsia="宋体" w:cs="宋体"/>
              </w:rPr>
            </w:pPr>
          </w:p>
        </w:tc>
      </w:tr>
      <w:tr w14:paraId="53508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7" w:hRule="atLeast"/>
          <w:jc w:val="center"/>
        </w:trPr>
        <w:tc>
          <w:tcPr>
            <w:tcW w:w="2251" w:type="dxa"/>
            <w:vAlign w:val="center"/>
          </w:tcPr>
          <w:p w14:paraId="47D9A6AC">
            <w:pPr>
              <w:spacing w:line="300" w:lineRule="exact"/>
              <w:jc w:val="left"/>
              <w:rPr>
                <w:rFonts w:hint="eastAsia" w:ascii="宋体" w:hAnsi="宋体" w:eastAsia="宋体" w:cs="宋体"/>
                <w:b/>
                <w:bCs/>
              </w:rPr>
            </w:pPr>
            <w:r>
              <w:rPr>
                <w:rFonts w:hint="eastAsia" w:ascii="宋体" w:hAnsi="宋体" w:eastAsia="宋体" w:cs="宋体"/>
                <w:b/>
                <w:bCs/>
              </w:rPr>
              <w:t>　　监督事务</w:t>
            </w:r>
          </w:p>
        </w:tc>
        <w:tc>
          <w:tcPr>
            <w:tcW w:w="1487" w:type="dxa"/>
            <w:vAlign w:val="center"/>
          </w:tcPr>
          <w:p w14:paraId="44EBCFCD">
            <w:pPr>
              <w:spacing w:line="300" w:lineRule="exact"/>
              <w:jc w:val="left"/>
              <w:rPr>
                <w:rFonts w:hint="eastAsia" w:ascii="宋体" w:hAnsi="宋体" w:eastAsia="宋体" w:cs="宋体"/>
              </w:rPr>
            </w:pPr>
          </w:p>
        </w:tc>
        <w:tc>
          <w:tcPr>
            <w:tcW w:w="1893" w:type="dxa"/>
            <w:vAlign w:val="center"/>
          </w:tcPr>
          <w:p w14:paraId="33F33DBE">
            <w:pPr>
              <w:spacing w:line="300" w:lineRule="exact"/>
              <w:jc w:val="left"/>
              <w:rPr>
                <w:rFonts w:hint="eastAsia" w:ascii="宋体" w:hAnsi="宋体" w:eastAsia="宋体" w:cs="宋体"/>
              </w:rPr>
            </w:pPr>
            <w:r>
              <w:rPr>
                <w:rFonts w:hint="eastAsia" w:ascii="宋体" w:hAnsi="宋体" w:eastAsia="宋体" w:cs="宋体"/>
              </w:rPr>
              <w:t>组织、鼓励和引导委员深入实际、走向基层、贴近群众开展视察考察，通过建议案、提案等形式进行监督。通过参加党委政府组织的调查和检查活动实施监督。</w:t>
            </w:r>
          </w:p>
        </w:tc>
        <w:tc>
          <w:tcPr>
            <w:tcW w:w="1592" w:type="dxa"/>
            <w:vAlign w:val="center"/>
          </w:tcPr>
          <w:p w14:paraId="259B0985">
            <w:pPr>
              <w:spacing w:line="300" w:lineRule="exact"/>
              <w:jc w:val="left"/>
              <w:rPr>
                <w:rFonts w:hint="eastAsia" w:ascii="宋体" w:hAnsi="宋体" w:eastAsia="宋体" w:cs="宋体"/>
              </w:rPr>
            </w:pPr>
            <w:r>
              <w:rPr>
                <w:rFonts w:hint="eastAsia" w:ascii="宋体" w:hAnsi="宋体" w:eastAsia="宋体" w:cs="宋体"/>
              </w:rPr>
              <w:t>完善民主监督机制，畅通民主监督渠道，建立健全知情、沟通制度，加强工作协调配合，提高民主监督的质量和成效。</w:t>
            </w:r>
          </w:p>
        </w:tc>
        <w:tc>
          <w:tcPr>
            <w:tcW w:w="790" w:type="dxa"/>
            <w:vAlign w:val="center"/>
          </w:tcPr>
          <w:p w14:paraId="00D9CA36">
            <w:pPr>
              <w:spacing w:line="300" w:lineRule="exact"/>
              <w:jc w:val="left"/>
              <w:rPr>
                <w:rFonts w:hint="eastAsia" w:ascii="宋体" w:hAnsi="宋体" w:eastAsia="宋体" w:cs="宋体"/>
              </w:rPr>
            </w:pPr>
            <w:r>
              <w:rPr>
                <w:rFonts w:hint="eastAsia" w:ascii="宋体" w:hAnsi="宋体" w:eastAsia="宋体" w:cs="宋体"/>
              </w:rPr>
              <w:t>监督工作任务完成率</w:t>
            </w:r>
          </w:p>
        </w:tc>
        <w:tc>
          <w:tcPr>
            <w:tcW w:w="811" w:type="dxa"/>
            <w:vAlign w:val="center"/>
          </w:tcPr>
          <w:p w14:paraId="5A633943">
            <w:pPr>
              <w:spacing w:line="300" w:lineRule="exact"/>
              <w:jc w:val="center"/>
              <w:rPr>
                <w:rFonts w:hint="eastAsia" w:ascii="宋体" w:hAnsi="宋体" w:eastAsia="宋体" w:cs="宋体"/>
              </w:rPr>
            </w:pPr>
            <w:r>
              <w:rPr>
                <w:rFonts w:hint="eastAsia" w:ascii="宋体" w:hAnsi="宋体" w:eastAsia="宋体" w:cs="宋体"/>
              </w:rPr>
              <w:t>≥100%</w:t>
            </w:r>
          </w:p>
        </w:tc>
        <w:tc>
          <w:tcPr>
            <w:tcW w:w="710" w:type="dxa"/>
            <w:vAlign w:val="center"/>
          </w:tcPr>
          <w:p w14:paraId="000AFB9E">
            <w:pPr>
              <w:spacing w:line="300" w:lineRule="exact"/>
              <w:jc w:val="center"/>
              <w:rPr>
                <w:rFonts w:hint="eastAsia" w:ascii="宋体" w:hAnsi="宋体" w:eastAsia="宋体" w:cs="宋体"/>
              </w:rPr>
            </w:pPr>
            <w:r>
              <w:rPr>
                <w:rFonts w:hint="eastAsia" w:ascii="宋体" w:hAnsi="宋体" w:eastAsia="宋体" w:cs="宋体"/>
              </w:rPr>
              <w:t>≥95%</w:t>
            </w:r>
          </w:p>
        </w:tc>
        <w:tc>
          <w:tcPr>
            <w:tcW w:w="710" w:type="dxa"/>
            <w:vAlign w:val="center"/>
          </w:tcPr>
          <w:p w14:paraId="30929852">
            <w:pPr>
              <w:spacing w:line="300" w:lineRule="exact"/>
              <w:jc w:val="center"/>
              <w:rPr>
                <w:rFonts w:hint="eastAsia" w:ascii="宋体" w:hAnsi="宋体" w:eastAsia="宋体" w:cs="宋体"/>
              </w:rPr>
            </w:pPr>
            <w:r>
              <w:rPr>
                <w:rFonts w:hint="eastAsia" w:ascii="宋体" w:hAnsi="宋体" w:eastAsia="宋体" w:cs="宋体"/>
              </w:rPr>
              <w:t>≥90%</w:t>
            </w:r>
          </w:p>
        </w:tc>
        <w:tc>
          <w:tcPr>
            <w:tcW w:w="615" w:type="dxa"/>
            <w:vAlign w:val="center"/>
          </w:tcPr>
          <w:p w14:paraId="5BFE8F6A">
            <w:pPr>
              <w:spacing w:line="300" w:lineRule="exact"/>
              <w:jc w:val="center"/>
              <w:rPr>
                <w:rFonts w:hint="eastAsia" w:ascii="宋体" w:hAnsi="宋体" w:eastAsia="宋体" w:cs="宋体"/>
              </w:rPr>
            </w:pPr>
            <w:r>
              <w:rPr>
                <w:rFonts w:hint="eastAsia" w:ascii="宋体" w:hAnsi="宋体" w:eastAsia="宋体" w:cs="宋体"/>
              </w:rPr>
              <w:t>&lt;90%</w:t>
            </w:r>
          </w:p>
        </w:tc>
      </w:tr>
      <w:tr w14:paraId="5908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7" w:hRule="atLeast"/>
          <w:jc w:val="center"/>
        </w:trPr>
        <w:tc>
          <w:tcPr>
            <w:tcW w:w="2251" w:type="dxa"/>
            <w:vMerge w:val="restart"/>
            <w:vAlign w:val="center"/>
          </w:tcPr>
          <w:p w14:paraId="0AAD923F">
            <w:pPr>
              <w:spacing w:line="300" w:lineRule="exact"/>
              <w:jc w:val="left"/>
              <w:rPr>
                <w:rFonts w:hint="eastAsia" w:ascii="宋体" w:hAnsi="宋体" w:eastAsia="宋体" w:cs="宋体"/>
                <w:b/>
                <w:bCs/>
              </w:rPr>
            </w:pPr>
            <w:r>
              <w:rPr>
                <w:rFonts w:hint="eastAsia" w:ascii="宋体" w:hAnsi="宋体" w:eastAsia="宋体" w:cs="宋体"/>
                <w:b/>
                <w:bCs/>
              </w:rPr>
              <w:t>　　提案工作</w:t>
            </w:r>
          </w:p>
        </w:tc>
        <w:tc>
          <w:tcPr>
            <w:tcW w:w="1487" w:type="dxa"/>
            <w:vMerge w:val="restart"/>
            <w:vAlign w:val="center"/>
          </w:tcPr>
          <w:p w14:paraId="3441C112">
            <w:pPr>
              <w:spacing w:line="300" w:lineRule="exact"/>
              <w:jc w:val="left"/>
              <w:rPr>
                <w:rFonts w:hint="eastAsia" w:ascii="宋体" w:hAnsi="宋体" w:eastAsia="宋体" w:cs="宋体"/>
              </w:rPr>
            </w:pPr>
          </w:p>
        </w:tc>
        <w:tc>
          <w:tcPr>
            <w:tcW w:w="1893" w:type="dxa"/>
            <w:vMerge w:val="restart"/>
            <w:vAlign w:val="center"/>
          </w:tcPr>
          <w:p w14:paraId="2A9B749B">
            <w:pPr>
              <w:spacing w:line="300" w:lineRule="exact"/>
              <w:jc w:val="left"/>
              <w:rPr>
                <w:rFonts w:hint="eastAsia" w:ascii="宋体" w:hAnsi="宋体" w:eastAsia="宋体" w:cs="宋体"/>
              </w:rPr>
            </w:pPr>
            <w:r>
              <w:rPr>
                <w:rFonts w:hint="eastAsia" w:ascii="宋体" w:hAnsi="宋体" w:eastAsia="宋体" w:cs="宋体"/>
              </w:rPr>
              <w:t>对政协委员和参加政协的各党派团体以及各专委会（提案者）的提案进行审查立案，立案后交承办单位办理，适时通过协调、沟通、座谈、视察等形式进行督办。</w:t>
            </w:r>
          </w:p>
        </w:tc>
        <w:tc>
          <w:tcPr>
            <w:tcW w:w="1592" w:type="dxa"/>
            <w:vMerge w:val="restart"/>
            <w:vAlign w:val="center"/>
          </w:tcPr>
          <w:p w14:paraId="79B5C938">
            <w:pPr>
              <w:spacing w:line="300" w:lineRule="exact"/>
              <w:jc w:val="left"/>
              <w:rPr>
                <w:rFonts w:hint="eastAsia" w:ascii="宋体" w:hAnsi="宋体" w:eastAsia="宋体" w:cs="宋体"/>
              </w:rPr>
            </w:pPr>
            <w:r>
              <w:rPr>
                <w:rFonts w:hint="eastAsia" w:ascii="宋体" w:hAnsi="宋体" w:eastAsia="宋体" w:cs="宋体"/>
              </w:rPr>
              <w:t>完善提案审查、办理和反馈机制，做到提案程序更加规范，制度更加完善，提案质量和办理质量不断提高，政协履职作用更加突出。</w:t>
            </w:r>
          </w:p>
        </w:tc>
        <w:tc>
          <w:tcPr>
            <w:tcW w:w="790" w:type="dxa"/>
            <w:vAlign w:val="center"/>
          </w:tcPr>
          <w:p w14:paraId="0A082A4D">
            <w:pPr>
              <w:spacing w:line="300" w:lineRule="exact"/>
              <w:jc w:val="left"/>
              <w:rPr>
                <w:rFonts w:hint="eastAsia" w:ascii="宋体" w:hAnsi="宋体" w:eastAsia="宋体" w:cs="宋体"/>
              </w:rPr>
            </w:pPr>
            <w:r>
              <w:rPr>
                <w:rFonts w:hint="eastAsia" w:ascii="宋体" w:hAnsi="宋体" w:eastAsia="宋体" w:cs="宋体"/>
              </w:rPr>
              <w:t>提案督办完成率</w:t>
            </w:r>
          </w:p>
        </w:tc>
        <w:tc>
          <w:tcPr>
            <w:tcW w:w="811" w:type="dxa"/>
            <w:vAlign w:val="center"/>
          </w:tcPr>
          <w:p w14:paraId="15F3250F">
            <w:pPr>
              <w:spacing w:line="300" w:lineRule="exact"/>
              <w:jc w:val="center"/>
              <w:rPr>
                <w:rFonts w:hint="eastAsia" w:ascii="宋体" w:hAnsi="宋体" w:eastAsia="宋体" w:cs="宋体"/>
              </w:rPr>
            </w:pPr>
            <w:r>
              <w:rPr>
                <w:rFonts w:hint="eastAsia" w:ascii="宋体" w:hAnsi="宋体" w:eastAsia="宋体" w:cs="宋体"/>
              </w:rPr>
              <w:t>100%</w:t>
            </w:r>
          </w:p>
        </w:tc>
        <w:tc>
          <w:tcPr>
            <w:tcW w:w="710" w:type="dxa"/>
            <w:vAlign w:val="center"/>
          </w:tcPr>
          <w:p w14:paraId="52F49EB2">
            <w:pPr>
              <w:spacing w:line="300" w:lineRule="exact"/>
              <w:jc w:val="center"/>
              <w:rPr>
                <w:rFonts w:hint="eastAsia" w:ascii="宋体" w:hAnsi="宋体" w:eastAsia="宋体" w:cs="宋体"/>
              </w:rPr>
            </w:pPr>
            <w:r>
              <w:rPr>
                <w:rFonts w:hint="eastAsia" w:ascii="宋体" w:hAnsi="宋体" w:eastAsia="宋体" w:cs="宋体"/>
              </w:rPr>
              <w:t>≥95%</w:t>
            </w:r>
          </w:p>
        </w:tc>
        <w:tc>
          <w:tcPr>
            <w:tcW w:w="710" w:type="dxa"/>
            <w:vAlign w:val="center"/>
          </w:tcPr>
          <w:p w14:paraId="052A85B2">
            <w:pPr>
              <w:spacing w:line="300" w:lineRule="exact"/>
              <w:jc w:val="center"/>
              <w:rPr>
                <w:rFonts w:hint="eastAsia" w:ascii="宋体" w:hAnsi="宋体" w:eastAsia="宋体" w:cs="宋体"/>
              </w:rPr>
            </w:pPr>
            <w:r>
              <w:rPr>
                <w:rFonts w:hint="eastAsia" w:ascii="宋体" w:hAnsi="宋体" w:eastAsia="宋体" w:cs="宋体"/>
              </w:rPr>
              <w:t>≥90%</w:t>
            </w:r>
          </w:p>
        </w:tc>
        <w:tc>
          <w:tcPr>
            <w:tcW w:w="615" w:type="dxa"/>
            <w:vAlign w:val="center"/>
          </w:tcPr>
          <w:p w14:paraId="1D54D998">
            <w:pPr>
              <w:spacing w:line="300" w:lineRule="exact"/>
              <w:jc w:val="center"/>
              <w:rPr>
                <w:rFonts w:hint="eastAsia" w:ascii="宋体" w:hAnsi="宋体" w:eastAsia="宋体" w:cs="宋体"/>
              </w:rPr>
            </w:pPr>
            <w:r>
              <w:rPr>
                <w:rFonts w:hint="eastAsia" w:ascii="宋体" w:hAnsi="宋体" w:eastAsia="宋体" w:cs="宋体"/>
              </w:rPr>
              <w:t>&lt;90%</w:t>
            </w:r>
          </w:p>
        </w:tc>
      </w:tr>
      <w:tr w14:paraId="10D16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8" w:hRule="atLeast"/>
          <w:jc w:val="center"/>
        </w:trPr>
        <w:tc>
          <w:tcPr>
            <w:tcW w:w="2251" w:type="dxa"/>
            <w:vMerge w:val="continue"/>
            <w:vAlign w:val="center"/>
          </w:tcPr>
          <w:p w14:paraId="0ECE0C38">
            <w:pPr>
              <w:rPr>
                <w:rFonts w:hint="eastAsia" w:ascii="宋体" w:hAnsi="宋体" w:eastAsia="宋体" w:cs="宋体"/>
                <w:sz w:val="20"/>
                <w:szCs w:val="20"/>
              </w:rPr>
            </w:pPr>
          </w:p>
        </w:tc>
        <w:tc>
          <w:tcPr>
            <w:tcW w:w="1487" w:type="dxa"/>
            <w:vMerge w:val="continue"/>
            <w:vAlign w:val="center"/>
          </w:tcPr>
          <w:p w14:paraId="4CF79BD7">
            <w:pPr>
              <w:rPr>
                <w:rFonts w:hint="eastAsia" w:ascii="宋体" w:hAnsi="宋体" w:eastAsia="宋体" w:cs="宋体"/>
                <w:sz w:val="20"/>
                <w:szCs w:val="20"/>
              </w:rPr>
            </w:pPr>
          </w:p>
        </w:tc>
        <w:tc>
          <w:tcPr>
            <w:tcW w:w="1893" w:type="dxa"/>
            <w:vMerge w:val="continue"/>
            <w:vAlign w:val="center"/>
          </w:tcPr>
          <w:p w14:paraId="3D265664">
            <w:pPr>
              <w:rPr>
                <w:rFonts w:hint="eastAsia" w:ascii="宋体" w:hAnsi="宋体" w:eastAsia="宋体" w:cs="宋体"/>
                <w:sz w:val="20"/>
                <w:szCs w:val="20"/>
              </w:rPr>
            </w:pPr>
          </w:p>
        </w:tc>
        <w:tc>
          <w:tcPr>
            <w:tcW w:w="1592" w:type="dxa"/>
            <w:vMerge w:val="continue"/>
            <w:vAlign w:val="center"/>
          </w:tcPr>
          <w:p w14:paraId="69C3249A">
            <w:pPr>
              <w:rPr>
                <w:rFonts w:hint="eastAsia" w:ascii="宋体" w:hAnsi="宋体" w:eastAsia="宋体" w:cs="宋体"/>
                <w:sz w:val="20"/>
                <w:szCs w:val="20"/>
              </w:rPr>
            </w:pPr>
          </w:p>
        </w:tc>
        <w:tc>
          <w:tcPr>
            <w:tcW w:w="790" w:type="dxa"/>
            <w:vAlign w:val="center"/>
          </w:tcPr>
          <w:p w14:paraId="10B6815F">
            <w:pPr>
              <w:spacing w:line="300" w:lineRule="exact"/>
              <w:jc w:val="left"/>
              <w:rPr>
                <w:rFonts w:hint="eastAsia" w:ascii="宋体" w:hAnsi="宋体" w:eastAsia="宋体" w:cs="宋体"/>
              </w:rPr>
            </w:pPr>
            <w:r>
              <w:rPr>
                <w:rFonts w:hint="eastAsia" w:ascii="宋体" w:hAnsi="宋体" w:eastAsia="宋体" w:cs="宋体"/>
              </w:rPr>
              <w:t>提案交办率</w:t>
            </w:r>
          </w:p>
        </w:tc>
        <w:tc>
          <w:tcPr>
            <w:tcW w:w="811" w:type="dxa"/>
            <w:vAlign w:val="center"/>
          </w:tcPr>
          <w:p w14:paraId="54DFFB39">
            <w:pPr>
              <w:spacing w:line="300" w:lineRule="exact"/>
              <w:jc w:val="center"/>
              <w:rPr>
                <w:rFonts w:hint="eastAsia" w:ascii="宋体" w:hAnsi="宋体" w:eastAsia="宋体" w:cs="宋体"/>
              </w:rPr>
            </w:pPr>
            <w:r>
              <w:rPr>
                <w:rFonts w:hint="eastAsia" w:ascii="宋体" w:hAnsi="宋体" w:eastAsia="宋体" w:cs="宋体"/>
              </w:rPr>
              <w:t>100%</w:t>
            </w:r>
          </w:p>
        </w:tc>
        <w:tc>
          <w:tcPr>
            <w:tcW w:w="710" w:type="dxa"/>
            <w:vAlign w:val="center"/>
          </w:tcPr>
          <w:p w14:paraId="3B553225">
            <w:pPr>
              <w:spacing w:line="300" w:lineRule="exact"/>
              <w:jc w:val="center"/>
              <w:rPr>
                <w:rFonts w:hint="eastAsia" w:ascii="宋体" w:hAnsi="宋体" w:eastAsia="宋体" w:cs="宋体"/>
              </w:rPr>
            </w:pPr>
            <w:r>
              <w:rPr>
                <w:rFonts w:hint="eastAsia" w:ascii="宋体" w:hAnsi="宋体" w:eastAsia="宋体" w:cs="宋体"/>
              </w:rPr>
              <w:t>≥95%</w:t>
            </w:r>
          </w:p>
        </w:tc>
        <w:tc>
          <w:tcPr>
            <w:tcW w:w="710" w:type="dxa"/>
            <w:vAlign w:val="center"/>
          </w:tcPr>
          <w:p w14:paraId="6AB03B1C">
            <w:pPr>
              <w:spacing w:line="300" w:lineRule="exact"/>
              <w:jc w:val="center"/>
              <w:rPr>
                <w:rFonts w:hint="eastAsia" w:ascii="宋体" w:hAnsi="宋体" w:eastAsia="宋体" w:cs="宋体"/>
              </w:rPr>
            </w:pPr>
            <w:r>
              <w:rPr>
                <w:rFonts w:hint="eastAsia" w:ascii="宋体" w:hAnsi="宋体" w:eastAsia="宋体" w:cs="宋体"/>
              </w:rPr>
              <w:t>≥90%</w:t>
            </w:r>
          </w:p>
        </w:tc>
        <w:tc>
          <w:tcPr>
            <w:tcW w:w="615" w:type="dxa"/>
            <w:vAlign w:val="center"/>
          </w:tcPr>
          <w:p w14:paraId="445E17DF">
            <w:pPr>
              <w:spacing w:line="300" w:lineRule="exact"/>
              <w:jc w:val="center"/>
              <w:rPr>
                <w:rFonts w:hint="eastAsia" w:ascii="宋体" w:hAnsi="宋体" w:eastAsia="宋体" w:cs="宋体"/>
              </w:rPr>
            </w:pPr>
            <w:r>
              <w:rPr>
                <w:rFonts w:hint="eastAsia" w:ascii="宋体" w:hAnsi="宋体" w:eastAsia="宋体" w:cs="宋体"/>
              </w:rPr>
              <w:t>&lt;90%</w:t>
            </w:r>
          </w:p>
        </w:tc>
      </w:tr>
      <w:tr w14:paraId="15001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2" w:hRule="atLeast"/>
          <w:jc w:val="center"/>
        </w:trPr>
        <w:tc>
          <w:tcPr>
            <w:tcW w:w="2251" w:type="dxa"/>
            <w:vAlign w:val="center"/>
          </w:tcPr>
          <w:p w14:paraId="2BB2778D">
            <w:pPr>
              <w:spacing w:line="300" w:lineRule="exact"/>
              <w:ind w:firstLine="422" w:firstLineChars="200"/>
              <w:jc w:val="left"/>
              <w:rPr>
                <w:rFonts w:hint="eastAsia" w:ascii="宋体" w:hAnsi="宋体" w:eastAsia="宋体" w:cs="宋体"/>
                <w:b/>
                <w:bCs/>
              </w:rPr>
            </w:pPr>
            <w:r>
              <w:rPr>
                <w:rFonts w:hint="eastAsia" w:ascii="宋体" w:hAnsi="宋体" w:eastAsia="宋体" w:cs="宋体"/>
                <w:b/>
                <w:bCs/>
              </w:rPr>
              <w:t>参政议政</w:t>
            </w:r>
          </w:p>
        </w:tc>
        <w:tc>
          <w:tcPr>
            <w:tcW w:w="1487" w:type="dxa"/>
            <w:vAlign w:val="center"/>
          </w:tcPr>
          <w:p w14:paraId="618CED60">
            <w:pPr>
              <w:spacing w:line="300" w:lineRule="exact"/>
              <w:jc w:val="left"/>
              <w:rPr>
                <w:rFonts w:hint="eastAsia" w:ascii="宋体" w:hAnsi="宋体" w:eastAsia="宋体" w:cs="宋体"/>
              </w:rPr>
            </w:pPr>
            <w:r>
              <w:rPr>
                <w:rFonts w:hint="eastAsia" w:ascii="宋体" w:hAnsi="宋体" w:eastAsia="宋体" w:cs="宋体"/>
              </w:rPr>
              <w:t>45.70</w:t>
            </w:r>
          </w:p>
        </w:tc>
        <w:tc>
          <w:tcPr>
            <w:tcW w:w="1893" w:type="dxa"/>
            <w:vAlign w:val="center"/>
          </w:tcPr>
          <w:p w14:paraId="18EF4E4A">
            <w:pPr>
              <w:spacing w:line="300" w:lineRule="exact"/>
              <w:jc w:val="left"/>
              <w:rPr>
                <w:rFonts w:hint="eastAsia" w:ascii="宋体" w:hAnsi="宋体" w:eastAsia="宋体" w:cs="宋体"/>
              </w:rPr>
            </w:pPr>
            <w:r>
              <w:rPr>
                <w:rFonts w:hint="eastAsia" w:ascii="宋体" w:hAnsi="宋体" w:eastAsia="宋体" w:cs="宋体"/>
              </w:rPr>
              <w:t>通过对重大问题以及人民群众普遍关心的问题，开展调查研究，反映社情民意，进行协商讨论，以调研报告、建议案或其他形式，向县委、县政府提出意见和建议。</w:t>
            </w:r>
          </w:p>
        </w:tc>
        <w:tc>
          <w:tcPr>
            <w:tcW w:w="1592" w:type="dxa"/>
            <w:vAlign w:val="center"/>
          </w:tcPr>
          <w:p w14:paraId="762E33B2">
            <w:pPr>
              <w:spacing w:line="300" w:lineRule="exact"/>
              <w:jc w:val="left"/>
              <w:rPr>
                <w:rFonts w:hint="eastAsia" w:ascii="宋体" w:hAnsi="宋体" w:eastAsia="宋体" w:cs="宋体"/>
              </w:rPr>
            </w:pPr>
            <w:r>
              <w:rPr>
                <w:rFonts w:hint="eastAsia" w:ascii="宋体" w:hAnsi="宋体" w:eastAsia="宋体" w:cs="宋体"/>
              </w:rPr>
              <w:t>发挥政协作为扩大社会各界有序参与的重要渠道作用，探索开展活动的新方法新途径，充分调动委员参政议政积极，向县委、县政府提出高质量的建议案。</w:t>
            </w:r>
          </w:p>
        </w:tc>
        <w:tc>
          <w:tcPr>
            <w:tcW w:w="790" w:type="dxa"/>
            <w:vAlign w:val="center"/>
          </w:tcPr>
          <w:p w14:paraId="3C3ED848">
            <w:pPr>
              <w:spacing w:line="300" w:lineRule="exact"/>
              <w:jc w:val="left"/>
              <w:rPr>
                <w:rFonts w:hint="eastAsia" w:ascii="宋体" w:hAnsi="宋体" w:eastAsia="宋体" w:cs="宋体"/>
              </w:rPr>
            </w:pPr>
          </w:p>
        </w:tc>
        <w:tc>
          <w:tcPr>
            <w:tcW w:w="811" w:type="dxa"/>
            <w:vAlign w:val="center"/>
          </w:tcPr>
          <w:p w14:paraId="485B9AD1">
            <w:pPr>
              <w:spacing w:line="300" w:lineRule="exact"/>
              <w:jc w:val="center"/>
              <w:rPr>
                <w:rFonts w:hint="eastAsia" w:ascii="宋体" w:hAnsi="宋体" w:eastAsia="宋体" w:cs="宋体"/>
              </w:rPr>
            </w:pPr>
          </w:p>
        </w:tc>
        <w:tc>
          <w:tcPr>
            <w:tcW w:w="710" w:type="dxa"/>
            <w:vAlign w:val="center"/>
          </w:tcPr>
          <w:p w14:paraId="6582D6E4">
            <w:pPr>
              <w:spacing w:line="300" w:lineRule="exact"/>
              <w:jc w:val="center"/>
              <w:rPr>
                <w:rFonts w:hint="eastAsia" w:ascii="宋体" w:hAnsi="宋体" w:eastAsia="宋体" w:cs="宋体"/>
              </w:rPr>
            </w:pPr>
          </w:p>
        </w:tc>
        <w:tc>
          <w:tcPr>
            <w:tcW w:w="710" w:type="dxa"/>
            <w:vAlign w:val="center"/>
          </w:tcPr>
          <w:p w14:paraId="2CF71380">
            <w:pPr>
              <w:spacing w:line="300" w:lineRule="exact"/>
              <w:jc w:val="center"/>
              <w:rPr>
                <w:rFonts w:hint="eastAsia" w:ascii="宋体" w:hAnsi="宋体" w:eastAsia="宋体" w:cs="宋体"/>
              </w:rPr>
            </w:pPr>
          </w:p>
        </w:tc>
        <w:tc>
          <w:tcPr>
            <w:tcW w:w="615" w:type="dxa"/>
            <w:vAlign w:val="center"/>
          </w:tcPr>
          <w:p w14:paraId="719348BF">
            <w:pPr>
              <w:spacing w:line="300" w:lineRule="exact"/>
              <w:jc w:val="center"/>
              <w:rPr>
                <w:rFonts w:hint="eastAsia" w:ascii="宋体" w:hAnsi="宋体" w:eastAsia="宋体" w:cs="宋体"/>
              </w:rPr>
            </w:pPr>
          </w:p>
        </w:tc>
      </w:tr>
      <w:tr w14:paraId="7AA6D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3" w:hRule="atLeast"/>
          <w:jc w:val="center"/>
        </w:trPr>
        <w:tc>
          <w:tcPr>
            <w:tcW w:w="2251" w:type="dxa"/>
            <w:vMerge w:val="restart"/>
            <w:vAlign w:val="center"/>
          </w:tcPr>
          <w:p w14:paraId="60CE38BE">
            <w:pPr>
              <w:spacing w:line="300" w:lineRule="exact"/>
              <w:jc w:val="left"/>
              <w:rPr>
                <w:rFonts w:hint="eastAsia" w:ascii="宋体" w:hAnsi="宋体" w:eastAsia="宋体" w:cs="宋体"/>
                <w:b/>
                <w:bCs/>
              </w:rPr>
            </w:pPr>
            <w:r>
              <w:rPr>
                <w:rFonts w:hint="eastAsia" w:ascii="宋体" w:hAnsi="宋体" w:eastAsia="宋体" w:cs="宋体"/>
                <w:b/>
                <w:bCs/>
              </w:rPr>
              <w:t>　　 专题调研</w:t>
            </w:r>
          </w:p>
        </w:tc>
        <w:tc>
          <w:tcPr>
            <w:tcW w:w="1487" w:type="dxa"/>
            <w:vMerge w:val="restart"/>
            <w:vAlign w:val="center"/>
          </w:tcPr>
          <w:p w14:paraId="1DDE79BF">
            <w:pPr>
              <w:spacing w:line="300" w:lineRule="exact"/>
              <w:jc w:val="left"/>
              <w:rPr>
                <w:rFonts w:hint="eastAsia" w:ascii="宋体" w:hAnsi="宋体" w:eastAsia="宋体" w:cs="宋体"/>
              </w:rPr>
            </w:pPr>
            <w:r>
              <w:rPr>
                <w:rFonts w:hint="eastAsia" w:ascii="宋体" w:hAnsi="宋体" w:eastAsia="宋体" w:cs="宋体"/>
              </w:rPr>
              <w:t>12.00</w:t>
            </w:r>
          </w:p>
        </w:tc>
        <w:tc>
          <w:tcPr>
            <w:tcW w:w="1893" w:type="dxa"/>
            <w:vMerge w:val="restart"/>
            <w:vAlign w:val="center"/>
          </w:tcPr>
          <w:p w14:paraId="13BAD259">
            <w:pPr>
              <w:spacing w:line="300" w:lineRule="exact"/>
              <w:jc w:val="left"/>
              <w:rPr>
                <w:rFonts w:hint="eastAsia" w:ascii="宋体" w:hAnsi="宋体" w:eastAsia="宋体" w:cs="宋体"/>
              </w:rPr>
            </w:pPr>
            <w:r>
              <w:rPr>
                <w:rFonts w:hint="eastAsia" w:ascii="宋体" w:hAnsi="宋体" w:eastAsia="宋体" w:cs="宋体"/>
              </w:rPr>
              <w:t>选择经济社会发展中具有综合性、全局性、前瞻性的课题，在县委和县政府有关部门密切配合下，深入调查研究，开展咨询论证、提出意见建议。</w:t>
            </w:r>
          </w:p>
        </w:tc>
        <w:tc>
          <w:tcPr>
            <w:tcW w:w="1592" w:type="dxa"/>
            <w:vMerge w:val="restart"/>
            <w:vAlign w:val="center"/>
          </w:tcPr>
          <w:p w14:paraId="7D7E3D10">
            <w:pPr>
              <w:spacing w:line="300" w:lineRule="exact"/>
              <w:jc w:val="left"/>
              <w:rPr>
                <w:rFonts w:hint="eastAsia" w:ascii="宋体" w:hAnsi="宋体" w:eastAsia="宋体" w:cs="宋体"/>
              </w:rPr>
            </w:pPr>
            <w:r>
              <w:rPr>
                <w:rFonts w:hint="eastAsia" w:ascii="宋体" w:hAnsi="宋体" w:eastAsia="宋体" w:cs="宋体"/>
              </w:rPr>
              <w:t>通过调研课题就党和政府关注的问题，提出客观、有价值、有分量、有影响的意见建议，促进决策民主化和科学化。</w:t>
            </w:r>
          </w:p>
        </w:tc>
        <w:tc>
          <w:tcPr>
            <w:tcW w:w="790" w:type="dxa"/>
            <w:vAlign w:val="center"/>
          </w:tcPr>
          <w:p w14:paraId="0F658D73">
            <w:pPr>
              <w:spacing w:line="300" w:lineRule="exact"/>
              <w:jc w:val="left"/>
              <w:rPr>
                <w:rFonts w:hint="eastAsia" w:ascii="宋体" w:hAnsi="宋体" w:eastAsia="宋体" w:cs="宋体"/>
              </w:rPr>
            </w:pPr>
            <w:r>
              <w:rPr>
                <w:rFonts w:hint="eastAsia" w:ascii="宋体" w:hAnsi="宋体" w:eastAsia="宋体" w:cs="宋体"/>
              </w:rPr>
              <w:t>调研结果和政策建议采纳数</w:t>
            </w:r>
          </w:p>
        </w:tc>
        <w:tc>
          <w:tcPr>
            <w:tcW w:w="811" w:type="dxa"/>
            <w:vAlign w:val="center"/>
          </w:tcPr>
          <w:p w14:paraId="580EF4AB">
            <w:pPr>
              <w:spacing w:line="300" w:lineRule="exact"/>
              <w:jc w:val="center"/>
              <w:rPr>
                <w:rFonts w:hint="eastAsia" w:ascii="宋体" w:hAnsi="宋体" w:eastAsia="宋体" w:cs="宋体"/>
              </w:rPr>
            </w:pPr>
            <w:r>
              <w:rPr>
                <w:rFonts w:hint="eastAsia" w:ascii="宋体" w:hAnsi="宋体" w:eastAsia="宋体" w:cs="宋体"/>
              </w:rPr>
              <w:t>≥50%</w:t>
            </w:r>
          </w:p>
        </w:tc>
        <w:tc>
          <w:tcPr>
            <w:tcW w:w="710" w:type="dxa"/>
            <w:vAlign w:val="center"/>
          </w:tcPr>
          <w:p w14:paraId="6721B05B">
            <w:pPr>
              <w:spacing w:line="300" w:lineRule="exact"/>
              <w:jc w:val="center"/>
              <w:rPr>
                <w:rFonts w:hint="eastAsia" w:ascii="宋体" w:hAnsi="宋体" w:eastAsia="宋体" w:cs="宋体"/>
              </w:rPr>
            </w:pPr>
            <w:r>
              <w:rPr>
                <w:rFonts w:hint="eastAsia" w:ascii="宋体" w:hAnsi="宋体" w:eastAsia="宋体" w:cs="宋体"/>
              </w:rPr>
              <w:t>≥30%</w:t>
            </w:r>
          </w:p>
        </w:tc>
        <w:tc>
          <w:tcPr>
            <w:tcW w:w="710" w:type="dxa"/>
            <w:vAlign w:val="center"/>
          </w:tcPr>
          <w:p w14:paraId="3E1FC8E5">
            <w:pPr>
              <w:spacing w:line="300" w:lineRule="exact"/>
              <w:jc w:val="center"/>
              <w:rPr>
                <w:rFonts w:hint="eastAsia" w:ascii="宋体" w:hAnsi="宋体" w:eastAsia="宋体" w:cs="宋体"/>
              </w:rPr>
            </w:pPr>
            <w:r>
              <w:rPr>
                <w:rFonts w:hint="eastAsia" w:ascii="宋体" w:hAnsi="宋体" w:eastAsia="宋体" w:cs="宋体"/>
              </w:rPr>
              <w:t>≥20%</w:t>
            </w:r>
          </w:p>
        </w:tc>
        <w:tc>
          <w:tcPr>
            <w:tcW w:w="615" w:type="dxa"/>
            <w:vAlign w:val="center"/>
          </w:tcPr>
          <w:p w14:paraId="3018E558">
            <w:pPr>
              <w:spacing w:line="300" w:lineRule="exact"/>
              <w:jc w:val="center"/>
              <w:rPr>
                <w:rFonts w:hint="eastAsia" w:ascii="宋体" w:hAnsi="宋体" w:eastAsia="宋体" w:cs="宋体"/>
              </w:rPr>
            </w:pPr>
            <w:r>
              <w:rPr>
                <w:rFonts w:hint="eastAsia" w:ascii="宋体" w:hAnsi="宋体" w:eastAsia="宋体" w:cs="宋体"/>
              </w:rPr>
              <w:t>&lt;20%</w:t>
            </w:r>
          </w:p>
        </w:tc>
      </w:tr>
      <w:tr w14:paraId="74C7F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3" w:hRule="atLeast"/>
          <w:jc w:val="center"/>
        </w:trPr>
        <w:tc>
          <w:tcPr>
            <w:tcW w:w="2251" w:type="dxa"/>
            <w:vMerge w:val="continue"/>
            <w:vAlign w:val="center"/>
          </w:tcPr>
          <w:p w14:paraId="5E5179DC">
            <w:pPr>
              <w:rPr>
                <w:rFonts w:hint="eastAsia" w:ascii="宋体" w:hAnsi="宋体" w:eastAsia="宋体" w:cs="宋体"/>
                <w:sz w:val="20"/>
                <w:szCs w:val="20"/>
              </w:rPr>
            </w:pPr>
          </w:p>
        </w:tc>
        <w:tc>
          <w:tcPr>
            <w:tcW w:w="1487" w:type="dxa"/>
            <w:vMerge w:val="continue"/>
            <w:vAlign w:val="center"/>
          </w:tcPr>
          <w:p w14:paraId="7D738DCB">
            <w:pPr>
              <w:rPr>
                <w:rFonts w:hint="eastAsia" w:ascii="宋体" w:hAnsi="宋体" w:eastAsia="宋体" w:cs="宋体"/>
                <w:sz w:val="20"/>
                <w:szCs w:val="20"/>
              </w:rPr>
            </w:pPr>
          </w:p>
        </w:tc>
        <w:tc>
          <w:tcPr>
            <w:tcW w:w="1893" w:type="dxa"/>
            <w:vMerge w:val="continue"/>
            <w:vAlign w:val="center"/>
          </w:tcPr>
          <w:p w14:paraId="6CC8B9EF">
            <w:pPr>
              <w:rPr>
                <w:rFonts w:hint="eastAsia" w:ascii="宋体" w:hAnsi="宋体" w:eastAsia="宋体" w:cs="宋体"/>
                <w:sz w:val="20"/>
                <w:szCs w:val="20"/>
              </w:rPr>
            </w:pPr>
          </w:p>
        </w:tc>
        <w:tc>
          <w:tcPr>
            <w:tcW w:w="1592" w:type="dxa"/>
            <w:vMerge w:val="continue"/>
            <w:vAlign w:val="center"/>
          </w:tcPr>
          <w:p w14:paraId="6DC911F4">
            <w:pPr>
              <w:rPr>
                <w:rFonts w:hint="eastAsia" w:ascii="宋体" w:hAnsi="宋体" w:eastAsia="宋体" w:cs="宋体"/>
                <w:sz w:val="20"/>
                <w:szCs w:val="20"/>
              </w:rPr>
            </w:pPr>
          </w:p>
        </w:tc>
        <w:tc>
          <w:tcPr>
            <w:tcW w:w="790" w:type="dxa"/>
            <w:vAlign w:val="center"/>
          </w:tcPr>
          <w:p w14:paraId="7C61C658">
            <w:pPr>
              <w:spacing w:line="300" w:lineRule="exact"/>
              <w:jc w:val="left"/>
              <w:rPr>
                <w:rFonts w:hint="eastAsia" w:ascii="宋体" w:hAnsi="宋体" w:eastAsia="宋体" w:cs="宋体"/>
              </w:rPr>
            </w:pPr>
            <w:r>
              <w:rPr>
                <w:rFonts w:hint="eastAsia" w:ascii="宋体" w:hAnsi="宋体" w:eastAsia="宋体" w:cs="宋体"/>
              </w:rPr>
              <w:t>重点课题和专项调研完成率</w:t>
            </w:r>
          </w:p>
        </w:tc>
        <w:tc>
          <w:tcPr>
            <w:tcW w:w="811" w:type="dxa"/>
            <w:vAlign w:val="center"/>
          </w:tcPr>
          <w:p w14:paraId="6A35B303">
            <w:pPr>
              <w:spacing w:line="300" w:lineRule="exact"/>
              <w:jc w:val="center"/>
              <w:rPr>
                <w:rFonts w:hint="eastAsia" w:ascii="宋体" w:hAnsi="宋体" w:eastAsia="宋体" w:cs="宋体"/>
              </w:rPr>
            </w:pPr>
            <w:r>
              <w:rPr>
                <w:rFonts w:hint="eastAsia" w:ascii="宋体" w:hAnsi="宋体" w:eastAsia="宋体" w:cs="宋体"/>
              </w:rPr>
              <w:t>≥100%</w:t>
            </w:r>
          </w:p>
        </w:tc>
        <w:tc>
          <w:tcPr>
            <w:tcW w:w="710" w:type="dxa"/>
            <w:vAlign w:val="center"/>
          </w:tcPr>
          <w:p w14:paraId="77237773">
            <w:pPr>
              <w:spacing w:line="300" w:lineRule="exact"/>
              <w:jc w:val="center"/>
              <w:rPr>
                <w:rFonts w:hint="eastAsia" w:ascii="宋体" w:hAnsi="宋体" w:eastAsia="宋体" w:cs="宋体"/>
              </w:rPr>
            </w:pPr>
            <w:r>
              <w:rPr>
                <w:rFonts w:hint="eastAsia" w:ascii="宋体" w:hAnsi="宋体" w:eastAsia="宋体" w:cs="宋体"/>
              </w:rPr>
              <w:t>≥95%</w:t>
            </w:r>
          </w:p>
        </w:tc>
        <w:tc>
          <w:tcPr>
            <w:tcW w:w="710" w:type="dxa"/>
            <w:vAlign w:val="center"/>
          </w:tcPr>
          <w:p w14:paraId="35857924">
            <w:pPr>
              <w:spacing w:line="300" w:lineRule="exact"/>
              <w:jc w:val="center"/>
              <w:rPr>
                <w:rFonts w:hint="eastAsia" w:ascii="宋体" w:hAnsi="宋体" w:eastAsia="宋体" w:cs="宋体"/>
              </w:rPr>
            </w:pPr>
            <w:r>
              <w:rPr>
                <w:rFonts w:hint="eastAsia" w:ascii="宋体" w:hAnsi="宋体" w:eastAsia="宋体" w:cs="宋体"/>
              </w:rPr>
              <w:t>≥90%</w:t>
            </w:r>
          </w:p>
        </w:tc>
        <w:tc>
          <w:tcPr>
            <w:tcW w:w="615" w:type="dxa"/>
            <w:vAlign w:val="center"/>
          </w:tcPr>
          <w:p w14:paraId="01A77D84">
            <w:pPr>
              <w:spacing w:line="300" w:lineRule="exact"/>
              <w:jc w:val="center"/>
              <w:rPr>
                <w:rFonts w:hint="eastAsia" w:ascii="宋体" w:hAnsi="宋体" w:eastAsia="宋体" w:cs="宋体"/>
              </w:rPr>
            </w:pPr>
            <w:r>
              <w:rPr>
                <w:rFonts w:hint="eastAsia" w:ascii="宋体" w:hAnsi="宋体" w:eastAsia="宋体" w:cs="宋体"/>
              </w:rPr>
              <w:t>&lt;90%</w:t>
            </w:r>
          </w:p>
        </w:tc>
      </w:tr>
      <w:tr w14:paraId="770A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5" w:hRule="atLeast"/>
          <w:jc w:val="center"/>
        </w:trPr>
        <w:tc>
          <w:tcPr>
            <w:tcW w:w="2251" w:type="dxa"/>
            <w:vAlign w:val="center"/>
          </w:tcPr>
          <w:p w14:paraId="1E25B633">
            <w:pPr>
              <w:spacing w:line="300" w:lineRule="exact"/>
              <w:jc w:val="left"/>
              <w:rPr>
                <w:rFonts w:hint="eastAsia" w:ascii="宋体" w:hAnsi="宋体" w:eastAsia="宋体" w:cs="宋体"/>
                <w:b/>
                <w:bCs/>
              </w:rPr>
            </w:pPr>
            <w:r>
              <w:rPr>
                <w:rFonts w:hint="eastAsia" w:ascii="宋体" w:hAnsi="宋体" w:eastAsia="宋体" w:cs="宋体"/>
                <w:b/>
                <w:bCs/>
              </w:rPr>
              <w:t>　　  社情民意</w:t>
            </w:r>
          </w:p>
        </w:tc>
        <w:tc>
          <w:tcPr>
            <w:tcW w:w="1487" w:type="dxa"/>
            <w:vAlign w:val="center"/>
          </w:tcPr>
          <w:p w14:paraId="7B89692B">
            <w:pPr>
              <w:spacing w:line="300" w:lineRule="exact"/>
              <w:jc w:val="left"/>
              <w:rPr>
                <w:rFonts w:hint="eastAsia" w:ascii="宋体" w:hAnsi="宋体" w:eastAsia="宋体" w:cs="宋体"/>
              </w:rPr>
            </w:pPr>
            <w:r>
              <w:rPr>
                <w:rFonts w:hint="eastAsia" w:ascii="宋体" w:hAnsi="宋体" w:eastAsia="宋体" w:cs="宋体"/>
              </w:rPr>
              <w:t>33.70</w:t>
            </w:r>
          </w:p>
        </w:tc>
        <w:tc>
          <w:tcPr>
            <w:tcW w:w="1893" w:type="dxa"/>
            <w:vAlign w:val="center"/>
          </w:tcPr>
          <w:p w14:paraId="15EFBF8F">
            <w:pPr>
              <w:spacing w:line="300" w:lineRule="exact"/>
              <w:jc w:val="left"/>
              <w:rPr>
                <w:rFonts w:hint="eastAsia" w:ascii="宋体" w:hAnsi="宋体" w:eastAsia="宋体" w:cs="宋体"/>
              </w:rPr>
            </w:pPr>
            <w:r>
              <w:rPr>
                <w:rFonts w:hint="eastAsia" w:ascii="宋体" w:hAnsi="宋体" w:eastAsia="宋体" w:cs="宋体"/>
              </w:rPr>
              <w:t>利用政协自身包容各界、联系广泛、人才聚集的优势和特点，了解和反映社会不同阶层、群体的愿望和要求，将分散在民间、基层有识之士的真知灼见反映给决策部门。</w:t>
            </w:r>
          </w:p>
        </w:tc>
        <w:tc>
          <w:tcPr>
            <w:tcW w:w="1592" w:type="dxa"/>
            <w:vAlign w:val="center"/>
          </w:tcPr>
          <w:p w14:paraId="7049C622">
            <w:pPr>
              <w:spacing w:line="300" w:lineRule="exact"/>
              <w:jc w:val="left"/>
              <w:rPr>
                <w:rFonts w:hint="eastAsia" w:ascii="宋体" w:hAnsi="宋体" w:eastAsia="宋体" w:cs="宋体"/>
              </w:rPr>
            </w:pPr>
            <w:r>
              <w:rPr>
                <w:rFonts w:hint="eastAsia" w:ascii="宋体" w:hAnsi="宋体" w:eastAsia="宋体" w:cs="宋体"/>
              </w:rPr>
              <w:t>通过界别渠道密切联系群众，反映社情民意，努力做到协调关系、化解矛盾、理顺情绪，增进社会各阶层不同利益群体的和谐和稳定。</w:t>
            </w:r>
          </w:p>
        </w:tc>
        <w:tc>
          <w:tcPr>
            <w:tcW w:w="790" w:type="dxa"/>
            <w:vAlign w:val="center"/>
          </w:tcPr>
          <w:p w14:paraId="373E6887">
            <w:pPr>
              <w:spacing w:line="300" w:lineRule="exact"/>
              <w:jc w:val="left"/>
              <w:rPr>
                <w:rFonts w:hint="eastAsia" w:ascii="宋体" w:hAnsi="宋体" w:eastAsia="宋体" w:cs="宋体"/>
              </w:rPr>
            </w:pPr>
            <w:r>
              <w:rPr>
                <w:rFonts w:hint="eastAsia" w:ascii="宋体" w:hAnsi="宋体" w:eastAsia="宋体" w:cs="宋体"/>
              </w:rPr>
              <w:t>社情民意反映率</w:t>
            </w:r>
          </w:p>
        </w:tc>
        <w:tc>
          <w:tcPr>
            <w:tcW w:w="811" w:type="dxa"/>
            <w:vAlign w:val="center"/>
          </w:tcPr>
          <w:p w14:paraId="18AD48C9">
            <w:pPr>
              <w:spacing w:line="300" w:lineRule="exact"/>
              <w:jc w:val="center"/>
              <w:rPr>
                <w:rFonts w:hint="eastAsia" w:ascii="宋体" w:hAnsi="宋体" w:eastAsia="宋体" w:cs="宋体"/>
              </w:rPr>
            </w:pPr>
            <w:r>
              <w:rPr>
                <w:rFonts w:hint="eastAsia" w:ascii="宋体" w:hAnsi="宋体" w:eastAsia="宋体" w:cs="宋体"/>
              </w:rPr>
              <w:t>≥80%</w:t>
            </w:r>
          </w:p>
        </w:tc>
        <w:tc>
          <w:tcPr>
            <w:tcW w:w="710" w:type="dxa"/>
            <w:vAlign w:val="center"/>
          </w:tcPr>
          <w:p w14:paraId="30711B5B">
            <w:pPr>
              <w:spacing w:line="300" w:lineRule="exact"/>
              <w:jc w:val="center"/>
              <w:rPr>
                <w:rFonts w:hint="eastAsia" w:ascii="宋体" w:hAnsi="宋体" w:eastAsia="宋体" w:cs="宋体"/>
              </w:rPr>
            </w:pPr>
            <w:r>
              <w:rPr>
                <w:rFonts w:hint="eastAsia" w:ascii="宋体" w:hAnsi="宋体" w:eastAsia="宋体" w:cs="宋体"/>
              </w:rPr>
              <w:t>≥70%</w:t>
            </w:r>
          </w:p>
        </w:tc>
        <w:tc>
          <w:tcPr>
            <w:tcW w:w="710" w:type="dxa"/>
            <w:vAlign w:val="center"/>
          </w:tcPr>
          <w:p w14:paraId="62834D1F">
            <w:pPr>
              <w:spacing w:line="300" w:lineRule="exact"/>
              <w:jc w:val="center"/>
              <w:rPr>
                <w:rFonts w:hint="eastAsia" w:ascii="宋体" w:hAnsi="宋体" w:eastAsia="宋体" w:cs="宋体"/>
              </w:rPr>
            </w:pPr>
            <w:r>
              <w:rPr>
                <w:rFonts w:hint="eastAsia" w:ascii="宋体" w:hAnsi="宋体" w:eastAsia="宋体" w:cs="宋体"/>
              </w:rPr>
              <w:t>≥50%</w:t>
            </w:r>
          </w:p>
        </w:tc>
        <w:tc>
          <w:tcPr>
            <w:tcW w:w="615" w:type="dxa"/>
            <w:vAlign w:val="center"/>
          </w:tcPr>
          <w:p w14:paraId="5AEC7594">
            <w:pPr>
              <w:spacing w:line="300" w:lineRule="exact"/>
              <w:jc w:val="center"/>
              <w:rPr>
                <w:rFonts w:hint="eastAsia" w:ascii="宋体" w:hAnsi="宋体" w:eastAsia="宋体" w:cs="宋体"/>
              </w:rPr>
            </w:pPr>
            <w:r>
              <w:rPr>
                <w:rFonts w:hint="eastAsia" w:ascii="宋体" w:hAnsi="宋体" w:eastAsia="宋体" w:cs="宋体"/>
              </w:rPr>
              <w:t>&lt;50%</w:t>
            </w:r>
          </w:p>
        </w:tc>
      </w:tr>
      <w:tr w14:paraId="0BE82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2" w:hRule="atLeast"/>
          <w:jc w:val="center"/>
        </w:trPr>
        <w:tc>
          <w:tcPr>
            <w:tcW w:w="2251" w:type="dxa"/>
            <w:vAlign w:val="center"/>
          </w:tcPr>
          <w:p w14:paraId="760032B7">
            <w:pPr>
              <w:spacing w:line="300" w:lineRule="exact"/>
              <w:ind w:firstLine="422" w:firstLineChars="200"/>
              <w:jc w:val="left"/>
              <w:rPr>
                <w:rFonts w:hint="eastAsia" w:ascii="宋体" w:hAnsi="宋体" w:eastAsia="宋体" w:cs="宋体"/>
                <w:b/>
                <w:bCs/>
              </w:rPr>
            </w:pPr>
            <w:r>
              <w:rPr>
                <w:rFonts w:hint="eastAsia" w:ascii="宋体" w:hAnsi="宋体" w:eastAsia="宋体" w:cs="宋体"/>
                <w:b/>
                <w:bCs/>
              </w:rPr>
              <w:t>政协事务管理</w:t>
            </w:r>
          </w:p>
        </w:tc>
        <w:tc>
          <w:tcPr>
            <w:tcW w:w="1487" w:type="dxa"/>
            <w:vAlign w:val="center"/>
          </w:tcPr>
          <w:p w14:paraId="68FE22A0">
            <w:pPr>
              <w:spacing w:line="300" w:lineRule="exact"/>
              <w:jc w:val="left"/>
              <w:rPr>
                <w:rFonts w:hint="eastAsia" w:ascii="宋体" w:hAnsi="宋体" w:eastAsia="宋体" w:cs="宋体"/>
              </w:rPr>
            </w:pPr>
          </w:p>
        </w:tc>
        <w:tc>
          <w:tcPr>
            <w:tcW w:w="1893" w:type="dxa"/>
            <w:vAlign w:val="center"/>
          </w:tcPr>
          <w:p w14:paraId="7702B427">
            <w:pPr>
              <w:spacing w:line="300" w:lineRule="exact"/>
              <w:jc w:val="left"/>
              <w:rPr>
                <w:rFonts w:hint="eastAsia" w:ascii="宋体" w:hAnsi="宋体" w:eastAsia="宋体" w:cs="宋体"/>
              </w:rPr>
            </w:pPr>
            <w:r>
              <w:rPr>
                <w:rFonts w:hint="eastAsia" w:ascii="宋体" w:hAnsi="宋体" w:eastAsia="宋体" w:cs="宋体"/>
              </w:rPr>
              <w:t>县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tc>
        <w:tc>
          <w:tcPr>
            <w:tcW w:w="1592" w:type="dxa"/>
            <w:vAlign w:val="center"/>
          </w:tcPr>
          <w:p w14:paraId="454DD6B6">
            <w:pPr>
              <w:spacing w:line="300" w:lineRule="exact"/>
              <w:jc w:val="left"/>
              <w:rPr>
                <w:rFonts w:hint="eastAsia" w:ascii="宋体" w:hAnsi="宋体" w:eastAsia="宋体" w:cs="宋体"/>
              </w:rPr>
            </w:pPr>
            <w:r>
              <w:rPr>
                <w:rFonts w:hint="eastAsia" w:ascii="宋体" w:hAnsi="宋体" w:eastAsia="宋体" w:cs="宋体"/>
              </w:rPr>
              <w:t>机关自身建设、服务保障能力进一步提升。</w:t>
            </w:r>
          </w:p>
        </w:tc>
        <w:tc>
          <w:tcPr>
            <w:tcW w:w="790" w:type="dxa"/>
            <w:vAlign w:val="center"/>
          </w:tcPr>
          <w:p w14:paraId="76B86CA3">
            <w:pPr>
              <w:spacing w:line="300" w:lineRule="exact"/>
              <w:jc w:val="left"/>
              <w:rPr>
                <w:rFonts w:hint="eastAsia" w:ascii="宋体" w:hAnsi="宋体" w:eastAsia="宋体" w:cs="宋体"/>
              </w:rPr>
            </w:pPr>
          </w:p>
        </w:tc>
        <w:tc>
          <w:tcPr>
            <w:tcW w:w="811" w:type="dxa"/>
            <w:vAlign w:val="center"/>
          </w:tcPr>
          <w:p w14:paraId="0CEC4D9E">
            <w:pPr>
              <w:spacing w:line="300" w:lineRule="exact"/>
              <w:jc w:val="center"/>
              <w:rPr>
                <w:rFonts w:hint="eastAsia" w:ascii="宋体" w:hAnsi="宋体" w:eastAsia="宋体" w:cs="宋体"/>
              </w:rPr>
            </w:pPr>
          </w:p>
        </w:tc>
        <w:tc>
          <w:tcPr>
            <w:tcW w:w="710" w:type="dxa"/>
            <w:vAlign w:val="center"/>
          </w:tcPr>
          <w:p w14:paraId="52892C8F">
            <w:pPr>
              <w:spacing w:line="300" w:lineRule="exact"/>
              <w:jc w:val="center"/>
              <w:rPr>
                <w:rFonts w:hint="eastAsia" w:ascii="宋体" w:hAnsi="宋体" w:eastAsia="宋体" w:cs="宋体"/>
              </w:rPr>
            </w:pPr>
          </w:p>
        </w:tc>
        <w:tc>
          <w:tcPr>
            <w:tcW w:w="710" w:type="dxa"/>
            <w:vAlign w:val="center"/>
          </w:tcPr>
          <w:p w14:paraId="25D12942">
            <w:pPr>
              <w:spacing w:line="300" w:lineRule="exact"/>
              <w:jc w:val="center"/>
              <w:rPr>
                <w:rFonts w:hint="eastAsia" w:ascii="宋体" w:hAnsi="宋体" w:eastAsia="宋体" w:cs="宋体"/>
              </w:rPr>
            </w:pPr>
          </w:p>
        </w:tc>
        <w:tc>
          <w:tcPr>
            <w:tcW w:w="615" w:type="dxa"/>
            <w:vAlign w:val="center"/>
          </w:tcPr>
          <w:p w14:paraId="790AD7EF">
            <w:pPr>
              <w:spacing w:line="300" w:lineRule="exact"/>
              <w:jc w:val="center"/>
              <w:rPr>
                <w:rFonts w:hint="eastAsia" w:ascii="宋体" w:hAnsi="宋体" w:eastAsia="宋体" w:cs="宋体"/>
              </w:rPr>
            </w:pPr>
          </w:p>
        </w:tc>
      </w:tr>
      <w:tr w14:paraId="2E06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4" w:hRule="atLeast"/>
          <w:jc w:val="center"/>
        </w:trPr>
        <w:tc>
          <w:tcPr>
            <w:tcW w:w="2251" w:type="dxa"/>
            <w:vAlign w:val="center"/>
          </w:tcPr>
          <w:p w14:paraId="3AF47122">
            <w:pPr>
              <w:spacing w:line="300" w:lineRule="exact"/>
              <w:jc w:val="left"/>
              <w:rPr>
                <w:rFonts w:hint="eastAsia" w:ascii="宋体" w:hAnsi="宋体" w:eastAsia="宋体" w:cs="宋体"/>
                <w:b/>
                <w:bCs/>
              </w:rPr>
            </w:pPr>
            <w:r>
              <w:rPr>
                <w:rFonts w:hint="eastAsia" w:ascii="宋体" w:hAnsi="宋体" w:eastAsia="宋体" w:cs="宋体"/>
                <w:b/>
                <w:bCs/>
              </w:rPr>
              <w:t>　　综合业务管理</w:t>
            </w:r>
          </w:p>
        </w:tc>
        <w:tc>
          <w:tcPr>
            <w:tcW w:w="1487" w:type="dxa"/>
            <w:vAlign w:val="center"/>
          </w:tcPr>
          <w:p w14:paraId="69100393">
            <w:pPr>
              <w:spacing w:line="300" w:lineRule="exact"/>
              <w:jc w:val="left"/>
              <w:rPr>
                <w:rFonts w:hint="eastAsia" w:ascii="宋体" w:hAnsi="宋体" w:eastAsia="宋体" w:cs="宋体"/>
              </w:rPr>
            </w:pPr>
          </w:p>
        </w:tc>
        <w:tc>
          <w:tcPr>
            <w:tcW w:w="1893" w:type="dxa"/>
            <w:vAlign w:val="center"/>
          </w:tcPr>
          <w:p w14:paraId="26C7EF56">
            <w:pPr>
              <w:spacing w:line="300" w:lineRule="exact"/>
              <w:jc w:val="left"/>
              <w:rPr>
                <w:rFonts w:hint="eastAsia" w:ascii="宋体" w:hAnsi="宋体" w:eastAsia="宋体" w:cs="宋体"/>
              </w:rPr>
            </w:pPr>
            <w:r>
              <w:rPr>
                <w:rFonts w:hint="eastAsia" w:ascii="宋体" w:hAnsi="宋体" w:eastAsia="宋体" w:cs="宋体"/>
              </w:rPr>
              <w:t>加强县政协机关与专委会自身建设以及理论研究和宣传工作，扩大与省市政协办公厅，县委、县人大常委会、县政府办公室，县各民主党派、工商联、人民团体、县直有关部门和乡政协的联系、协调工作。</w:t>
            </w:r>
          </w:p>
        </w:tc>
        <w:tc>
          <w:tcPr>
            <w:tcW w:w="1592" w:type="dxa"/>
            <w:vAlign w:val="center"/>
          </w:tcPr>
          <w:p w14:paraId="2E764DE2">
            <w:pPr>
              <w:spacing w:line="300" w:lineRule="exact"/>
              <w:jc w:val="left"/>
              <w:rPr>
                <w:rFonts w:hint="eastAsia" w:ascii="宋体" w:hAnsi="宋体" w:eastAsia="宋体" w:cs="宋体"/>
              </w:rPr>
            </w:pPr>
            <w:r>
              <w:rPr>
                <w:rFonts w:hint="eastAsia" w:ascii="宋体" w:hAnsi="宋体" w:eastAsia="宋体" w:cs="宋体"/>
              </w:rPr>
              <w:t>政协自身建设质量更加扎实，工作科学化水平进一步提升。文史资料的社会功能增强，理论研究成果服务履职作用明显。</w:t>
            </w:r>
          </w:p>
        </w:tc>
        <w:tc>
          <w:tcPr>
            <w:tcW w:w="790" w:type="dxa"/>
            <w:vAlign w:val="center"/>
          </w:tcPr>
          <w:p w14:paraId="27CE5061">
            <w:pPr>
              <w:spacing w:line="300" w:lineRule="exact"/>
              <w:jc w:val="left"/>
              <w:rPr>
                <w:rFonts w:hint="eastAsia" w:ascii="宋体" w:hAnsi="宋体" w:eastAsia="宋体" w:cs="宋体"/>
              </w:rPr>
            </w:pPr>
            <w:r>
              <w:rPr>
                <w:rFonts w:hint="eastAsia" w:ascii="宋体" w:hAnsi="宋体" w:eastAsia="宋体" w:cs="宋体"/>
              </w:rPr>
              <w:t>综合业务管理工作完成率</w:t>
            </w:r>
          </w:p>
        </w:tc>
        <w:tc>
          <w:tcPr>
            <w:tcW w:w="811" w:type="dxa"/>
            <w:vAlign w:val="center"/>
          </w:tcPr>
          <w:p w14:paraId="2CD7AC9F">
            <w:pPr>
              <w:spacing w:line="300" w:lineRule="exact"/>
              <w:jc w:val="center"/>
              <w:rPr>
                <w:rFonts w:hint="eastAsia" w:ascii="宋体" w:hAnsi="宋体" w:eastAsia="宋体" w:cs="宋体"/>
              </w:rPr>
            </w:pPr>
            <w:r>
              <w:rPr>
                <w:rFonts w:hint="eastAsia" w:ascii="宋体" w:hAnsi="宋体" w:eastAsia="宋体" w:cs="宋体"/>
              </w:rPr>
              <w:t>100%</w:t>
            </w:r>
          </w:p>
        </w:tc>
        <w:tc>
          <w:tcPr>
            <w:tcW w:w="710" w:type="dxa"/>
            <w:vAlign w:val="center"/>
          </w:tcPr>
          <w:p w14:paraId="7B6938F8">
            <w:pPr>
              <w:spacing w:line="300" w:lineRule="exact"/>
              <w:jc w:val="center"/>
              <w:rPr>
                <w:rFonts w:hint="eastAsia" w:ascii="宋体" w:hAnsi="宋体" w:eastAsia="宋体" w:cs="宋体"/>
              </w:rPr>
            </w:pPr>
            <w:r>
              <w:rPr>
                <w:rFonts w:hint="eastAsia" w:ascii="宋体" w:hAnsi="宋体" w:eastAsia="宋体" w:cs="宋体"/>
              </w:rPr>
              <w:t>≥95%</w:t>
            </w:r>
          </w:p>
        </w:tc>
        <w:tc>
          <w:tcPr>
            <w:tcW w:w="710" w:type="dxa"/>
            <w:vAlign w:val="center"/>
          </w:tcPr>
          <w:p w14:paraId="7498BC02">
            <w:pPr>
              <w:spacing w:line="300" w:lineRule="exact"/>
              <w:jc w:val="center"/>
              <w:rPr>
                <w:rFonts w:hint="eastAsia" w:ascii="宋体" w:hAnsi="宋体" w:eastAsia="宋体" w:cs="宋体"/>
              </w:rPr>
            </w:pPr>
            <w:r>
              <w:rPr>
                <w:rFonts w:hint="eastAsia" w:ascii="宋体" w:hAnsi="宋体" w:eastAsia="宋体" w:cs="宋体"/>
              </w:rPr>
              <w:t>≥90%</w:t>
            </w:r>
          </w:p>
        </w:tc>
        <w:tc>
          <w:tcPr>
            <w:tcW w:w="615" w:type="dxa"/>
            <w:vAlign w:val="center"/>
          </w:tcPr>
          <w:p w14:paraId="13D6F3E3">
            <w:pPr>
              <w:spacing w:line="300" w:lineRule="exact"/>
              <w:jc w:val="center"/>
              <w:rPr>
                <w:rFonts w:hint="eastAsia" w:ascii="宋体" w:hAnsi="宋体" w:eastAsia="宋体" w:cs="宋体"/>
              </w:rPr>
            </w:pPr>
            <w:r>
              <w:rPr>
                <w:rFonts w:hint="eastAsia" w:ascii="宋体" w:hAnsi="宋体" w:eastAsia="宋体" w:cs="宋体"/>
              </w:rPr>
              <w:t>&lt;90%</w:t>
            </w:r>
          </w:p>
        </w:tc>
      </w:tr>
      <w:tr w14:paraId="647BB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6" w:hRule="atLeast"/>
          <w:jc w:val="center"/>
        </w:trPr>
        <w:tc>
          <w:tcPr>
            <w:tcW w:w="2251" w:type="dxa"/>
            <w:vAlign w:val="center"/>
          </w:tcPr>
          <w:p w14:paraId="611ED13F">
            <w:pPr>
              <w:spacing w:line="300" w:lineRule="exact"/>
              <w:jc w:val="left"/>
              <w:rPr>
                <w:rFonts w:hint="eastAsia" w:ascii="宋体" w:hAnsi="宋体" w:eastAsia="宋体" w:cs="宋体"/>
                <w:b/>
                <w:bCs/>
              </w:rPr>
            </w:pPr>
            <w:r>
              <w:rPr>
                <w:rFonts w:hint="eastAsia" w:ascii="宋体" w:hAnsi="宋体" w:eastAsia="宋体" w:cs="宋体"/>
                <w:b/>
                <w:bCs/>
              </w:rPr>
              <w:t>　　综合事务管理</w:t>
            </w:r>
          </w:p>
        </w:tc>
        <w:tc>
          <w:tcPr>
            <w:tcW w:w="1487" w:type="dxa"/>
            <w:vAlign w:val="center"/>
          </w:tcPr>
          <w:p w14:paraId="1B2222EE">
            <w:pPr>
              <w:spacing w:line="300" w:lineRule="exact"/>
              <w:jc w:val="left"/>
              <w:rPr>
                <w:rFonts w:hint="eastAsia" w:ascii="宋体" w:hAnsi="宋体" w:eastAsia="宋体" w:cs="宋体"/>
              </w:rPr>
            </w:pPr>
          </w:p>
        </w:tc>
        <w:tc>
          <w:tcPr>
            <w:tcW w:w="1893" w:type="dxa"/>
            <w:vAlign w:val="center"/>
          </w:tcPr>
          <w:p w14:paraId="73C10BDB">
            <w:pPr>
              <w:spacing w:line="300" w:lineRule="exact"/>
              <w:jc w:val="left"/>
              <w:rPr>
                <w:rFonts w:hint="eastAsia" w:ascii="宋体" w:hAnsi="宋体" w:eastAsia="宋体" w:cs="宋体"/>
              </w:rPr>
            </w:pPr>
            <w:r>
              <w:rPr>
                <w:rFonts w:hint="eastAsia" w:ascii="宋体" w:hAnsi="宋体" w:eastAsia="宋体" w:cs="宋体"/>
              </w:rPr>
              <w:t>县政协机关的机构编制、人事任免、调配及人员培训、考核奖惩、工资福利，后勤保障、机关经费管理、资产管理、基建和审计，机关接待、离退休人员服务，以及承办县政协主席、副主席、秘书长交办的其他事项。</w:t>
            </w:r>
          </w:p>
        </w:tc>
        <w:tc>
          <w:tcPr>
            <w:tcW w:w="1592" w:type="dxa"/>
            <w:vAlign w:val="center"/>
          </w:tcPr>
          <w:p w14:paraId="6E86CE90">
            <w:pPr>
              <w:spacing w:line="300" w:lineRule="exact"/>
              <w:jc w:val="left"/>
              <w:rPr>
                <w:rFonts w:hint="eastAsia" w:ascii="宋体" w:hAnsi="宋体" w:eastAsia="宋体" w:cs="宋体"/>
              </w:rPr>
            </w:pPr>
            <w:r>
              <w:rPr>
                <w:rFonts w:hint="eastAsia" w:ascii="宋体" w:hAnsi="宋体" w:eastAsia="宋体" w:cs="宋体"/>
              </w:rPr>
              <w:t>机关基本设施设备正常运转、信息化保障、老干部服务保障能力进一步提高。</w:t>
            </w:r>
          </w:p>
        </w:tc>
        <w:tc>
          <w:tcPr>
            <w:tcW w:w="790" w:type="dxa"/>
            <w:vAlign w:val="center"/>
          </w:tcPr>
          <w:p w14:paraId="38A46843">
            <w:pPr>
              <w:spacing w:line="300" w:lineRule="exact"/>
              <w:jc w:val="left"/>
              <w:rPr>
                <w:rFonts w:hint="eastAsia" w:ascii="宋体" w:hAnsi="宋体" w:eastAsia="宋体" w:cs="宋体"/>
              </w:rPr>
            </w:pPr>
            <w:r>
              <w:rPr>
                <w:rFonts w:hint="eastAsia" w:ascii="宋体" w:hAnsi="宋体" w:eastAsia="宋体" w:cs="宋体"/>
              </w:rPr>
              <w:t>综合事务保障率</w:t>
            </w:r>
          </w:p>
        </w:tc>
        <w:tc>
          <w:tcPr>
            <w:tcW w:w="811" w:type="dxa"/>
            <w:vAlign w:val="center"/>
          </w:tcPr>
          <w:p w14:paraId="1B5495AE">
            <w:pPr>
              <w:spacing w:line="300" w:lineRule="exact"/>
              <w:jc w:val="center"/>
              <w:rPr>
                <w:rFonts w:hint="eastAsia" w:ascii="宋体" w:hAnsi="宋体" w:eastAsia="宋体" w:cs="宋体"/>
              </w:rPr>
            </w:pPr>
            <w:r>
              <w:rPr>
                <w:rFonts w:hint="eastAsia" w:ascii="宋体" w:hAnsi="宋体" w:eastAsia="宋体" w:cs="宋体"/>
              </w:rPr>
              <w:t>100%</w:t>
            </w:r>
          </w:p>
        </w:tc>
        <w:tc>
          <w:tcPr>
            <w:tcW w:w="710" w:type="dxa"/>
            <w:vAlign w:val="center"/>
          </w:tcPr>
          <w:p w14:paraId="283C5419">
            <w:pPr>
              <w:spacing w:line="300" w:lineRule="exact"/>
              <w:jc w:val="center"/>
              <w:rPr>
                <w:rFonts w:hint="eastAsia" w:ascii="宋体" w:hAnsi="宋体" w:eastAsia="宋体" w:cs="宋体"/>
              </w:rPr>
            </w:pPr>
            <w:r>
              <w:rPr>
                <w:rFonts w:hint="eastAsia" w:ascii="宋体" w:hAnsi="宋体" w:eastAsia="宋体" w:cs="宋体"/>
              </w:rPr>
              <w:t>≥95%</w:t>
            </w:r>
          </w:p>
        </w:tc>
        <w:tc>
          <w:tcPr>
            <w:tcW w:w="710" w:type="dxa"/>
            <w:vAlign w:val="center"/>
          </w:tcPr>
          <w:p w14:paraId="6E37365D">
            <w:pPr>
              <w:spacing w:line="300" w:lineRule="exact"/>
              <w:jc w:val="center"/>
              <w:rPr>
                <w:rFonts w:hint="eastAsia" w:ascii="宋体" w:hAnsi="宋体" w:eastAsia="宋体" w:cs="宋体"/>
              </w:rPr>
            </w:pPr>
            <w:r>
              <w:rPr>
                <w:rFonts w:hint="eastAsia" w:ascii="宋体" w:hAnsi="宋体" w:eastAsia="宋体" w:cs="宋体"/>
              </w:rPr>
              <w:t>≥90%</w:t>
            </w:r>
          </w:p>
        </w:tc>
        <w:tc>
          <w:tcPr>
            <w:tcW w:w="615" w:type="dxa"/>
            <w:vAlign w:val="center"/>
          </w:tcPr>
          <w:p w14:paraId="0B2911F4">
            <w:pPr>
              <w:spacing w:line="300" w:lineRule="exact"/>
              <w:jc w:val="center"/>
              <w:rPr>
                <w:rFonts w:hint="eastAsia" w:ascii="宋体" w:hAnsi="宋体" w:eastAsia="宋体" w:cs="宋体"/>
              </w:rPr>
            </w:pPr>
            <w:r>
              <w:rPr>
                <w:rFonts w:hint="eastAsia" w:ascii="宋体" w:hAnsi="宋体" w:eastAsia="宋体" w:cs="宋体"/>
              </w:rPr>
              <w:t>&lt;90%</w:t>
            </w:r>
          </w:p>
        </w:tc>
      </w:tr>
    </w:tbl>
    <w:p w14:paraId="5BE05360">
      <w:pPr>
        <w:spacing w:line="610" w:lineRule="exact"/>
        <w:rPr>
          <w:rFonts w:ascii="宋体" w:cs="Times New Roman"/>
          <w:sz w:val="32"/>
          <w:szCs w:val="32"/>
        </w:rPr>
      </w:pPr>
    </w:p>
    <w:p w14:paraId="4AF1C8B1">
      <w:pPr>
        <w:pStyle w:val="4"/>
        <w:widowControl/>
        <w:pBdr>
          <w:top w:val="none" w:color="auto" w:sz="0" w:space="0"/>
          <w:left w:val="none" w:color="auto" w:sz="0" w:space="0"/>
          <w:bottom w:val="none" w:color="auto" w:sz="0" w:space="0"/>
          <w:right w:val="none" w:color="auto" w:sz="0" w:space="0"/>
        </w:pBdr>
        <w:wordWrap/>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sz w:val="28"/>
          <w:szCs w:val="28"/>
          <w:shd w:val="clear" w:color="070000" w:fill="FFFFFF"/>
        </w:rPr>
        <w:t>二、</w:t>
      </w:r>
      <w:r>
        <w:rPr>
          <w:rFonts w:hint="eastAsia" w:ascii="宋体" w:hAnsi="宋体" w:eastAsia="宋体" w:cs="宋体"/>
          <w:i w:val="0"/>
          <w:caps w:val="0"/>
          <w:color w:val="000000"/>
          <w:spacing w:val="0"/>
          <w:sz w:val="28"/>
          <w:szCs w:val="28"/>
          <w:shd w:val="clear" w:color="070000" w:fill="FFFFFF"/>
          <w:lang w:val="en-US" w:eastAsia="zh-CN"/>
        </w:rPr>
        <w:t>预算绩效管理开展及整体绩效实现情况</w:t>
      </w:r>
    </w:p>
    <w:p w14:paraId="18BE9898">
      <w:pPr>
        <w:pStyle w:val="4"/>
        <w:widowControl/>
        <w:pBdr>
          <w:top w:val="none" w:color="auto" w:sz="0" w:space="0"/>
          <w:left w:val="none" w:color="auto" w:sz="0" w:space="0"/>
          <w:bottom w:val="none" w:color="auto" w:sz="0" w:space="0"/>
          <w:right w:val="none" w:color="auto" w:sz="0" w:space="0"/>
        </w:pBdr>
        <w:wordWrap/>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sz w:val="28"/>
          <w:szCs w:val="28"/>
          <w:shd w:val="clear" w:color="070000" w:fill="FFFFFF"/>
        </w:rPr>
        <w:t>（一）绩效评价的目的。完成从收支核算到成本核算的转变，更加符合价值规律的要求；以客观的绩效评价体系代替传统的业绩考核，体现民主公正的原则；鼓励预算单位进行创新和节约，提高预算资金使用效率。</w:t>
      </w:r>
    </w:p>
    <w:p w14:paraId="11AB4F50">
      <w:pPr>
        <w:pStyle w:val="4"/>
        <w:widowControl/>
        <w:pBdr>
          <w:top w:val="none" w:color="auto" w:sz="0" w:space="0"/>
          <w:left w:val="none" w:color="auto" w:sz="0" w:space="0"/>
          <w:bottom w:val="none" w:color="auto" w:sz="0" w:space="0"/>
          <w:right w:val="none" w:color="auto" w:sz="0" w:space="0"/>
        </w:pBdr>
        <w:wordWrap/>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sz w:val="28"/>
          <w:szCs w:val="28"/>
          <w:shd w:val="clear" w:color="070000" w:fill="FFFFFF"/>
        </w:rPr>
        <w:t>（二）绩效评价工作过程。我</w:t>
      </w:r>
      <w:r>
        <w:rPr>
          <w:rFonts w:hint="eastAsia" w:ascii="宋体" w:hAnsi="宋体" w:eastAsia="宋体" w:cs="宋体"/>
          <w:i w:val="0"/>
          <w:caps w:val="0"/>
          <w:color w:val="000000"/>
          <w:spacing w:val="0"/>
          <w:sz w:val="28"/>
          <w:szCs w:val="28"/>
          <w:shd w:val="clear" w:color="070000" w:fill="FFFFFF"/>
          <w:lang w:eastAsia="zh-CN"/>
        </w:rPr>
        <w:t>单位</w:t>
      </w:r>
      <w:r>
        <w:rPr>
          <w:rFonts w:hint="eastAsia" w:ascii="宋体" w:hAnsi="宋体" w:eastAsia="宋体" w:cs="宋体"/>
          <w:i w:val="0"/>
          <w:caps w:val="0"/>
          <w:color w:val="000000"/>
          <w:spacing w:val="0"/>
          <w:sz w:val="28"/>
          <w:szCs w:val="28"/>
          <w:shd w:val="clear" w:color="070000" w:fill="FFFFFF"/>
        </w:rPr>
        <w:t>成立了以分管财务的副</w:t>
      </w:r>
      <w:r>
        <w:rPr>
          <w:rFonts w:hint="eastAsia" w:ascii="宋体" w:hAnsi="宋体" w:eastAsia="宋体" w:cs="宋体"/>
          <w:i w:val="0"/>
          <w:caps w:val="0"/>
          <w:color w:val="000000"/>
          <w:spacing w:val="0"/>
          <w:sz w:val="28"/>
          <w:szCs w:val="28"/>
          <w:shd w:val="clear" w:color="070000" w:fill="FFFFFF"/>
          <w:lang w:eastAsia="zh-CN"/>
        </w:rPr>
        <w:t>主席</w:t>
      </w:r>
      <w:r>
        <w:rPr>
          <w:rFonts w:hint="eastAsia" w:ascii="宋体" w:hAnsi="宋体" w:eastAsia="宋体" w:cs="宋体"/>
          <w:i w:val="0"/>
          <w:caps w:val="0"/>
          <w:color w:val="000000"/>
          <w:spacing w:val="0"/>
          <w:sz w:val="28"/>
          <w:szCs w:val="28"/>
          <w:shd w:val="clear" w:color="070000" w:fill="FFFFFF"/>
        </w:rPr>
        <w:t>为组长，相关科室负责人为成员的预算绩效评价工作小组，明确熟悉财务工作的同志具体负责绩效评价工作，机关各科室密切配合，提供绩效评价所需要的数据和材料，力争做好</w:t>
      </w:r>
      <w:r>
        <w:rPr>
          <w:rFonts w:hint="eastAsia" w:ascii="宋体" w:hAnsi="宋体" w:eastAsia="宋体" w:cs="宋体"/>
          <w:i w:val="0"/>
          <w:caps w:val="0"/>
          <w:color w:val="000000"/>
          <w:spacing w:val="0"/>
          <w:sz w:val="28"/>
          <w:szCs w:val="28"/>
          <w:shd w:val="clear" w:color="070000" w:fill="FFFFFF"/>
          <w:lang w:eastAsia="zh-CN"/>
        </w:rPr>
        <w:t>2019</w:t>
      </w:r>
      <w:r>
        <w:rPr>
          <w:rFonts w:hint="eastAsia" w:ascii="宋体" w:hAnsi="宋体" w:eastAsia="宋体" w:cs="宋体"/>
          <w:i w:val="0"/>
          <w:caps w:val="0"/>
          <w:color w:val="000000"/>
          <w:spacing w:val="0"/>
          <w:sz w:val="28"/>
          <w:szCs w:val="28"/>
          <w:shd w:val="clear" w:color="070000" w:fill="FFFFFF"/>
        </w:rPr>
        <w:t>年预算绩效评价工作。</w:t>
      </w:r>
    </w:p>
    <w:p w14:paraId="53C12E7F">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三、</w:t>
      </w:r>
      <w:r>
        <w:rPr>
          <w:rFonts w:hint="eastAsia" w:ascii="宋体" w:hAnsi="宋体" w:eastAsia="宋体" w:cs="宋体"/>
          <w:sz w:val="28"/>
          <w:szCs w:val="28"/>
        </w:rPr>
        <w:t>项目绩效目标和绩效指标设定情况</w:t>
      </w:r>
    </w:p>
    <w:p w14:paraId="472E2A6C">
      <w:pPr>
        <w:widowControl w:val="0"/>
        <w:wordWrap/>
        <w:adjustRightInd/>
        <w:snapToGrid/>
        <w:spacing w:line="5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rPr>
        <w:t>目标1：</w:t>
      </w:r>
      <w:r>
        <w:rPr>
          <w:rFonts w:hint="eastAsia" w:ascii="宋体" w:hAnsi="宋体" w:eastAsia="宋体" w:cs="宋体"/>
          <w:sz w:val="28"/>
          <w:szCs w:val="28"/>
        </w:rPr>
        <w:t>保障职工工资、福利正常发放,提高工作积极性，确保各项工作正常运转。发放工资人数</w:t>
      </w:r>
      <w:r>
        <w:rPr>
          <w:rFonts w:hint="eastAsia" w:ascii="宋体" w:hAnsi="宋体" w:eastAsia="宋体" w:cs="宋体"/>
          <w:sz w:val="28"/>
          <w:szCs w:val="28"/>
          <w:lang w:eastAsia="zh-CN"/>
        </w:rPr>
        <w:t>、工资、奖金、津贴发放金额、社会保险缴纳及时率、奖金、津贴发放及时率、遗属补助发放及时率均达到</w:t>
      </w:r>
      <w:r>
        <w:rPr>
          <w:rFonts w:hint="eastAsia" w:ascii="宋体" w:hAnsi="宋体" w:eastAsia="宋体" w:cs="宋体"/>
          <w:sz w:val="28"/>
          <w:szCs w:val="28"/>
          <w:lang w:val="en-US" w:eastAsia="zh-CN"/>
        </w:rPr>
        <w:t>100%；重点工作完成率≥95%；单位年终考核成绩≥良；群众满意度≥95%。</w:t>
      </w:r>
    </w:p>
    <w:p w14:paraId="16542607">
      <w:pPr>
        <w:widowControl w:val="0"/>
        <w:wordWrap/>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b w:val="0"/>
          <w:bCs w:val="0"/>
          <w:sz w:val="28"/>
          <w:szCs w:val="28"/>
        </w:rPr>
        <w:t xml:space="preserve">  目标2：组织实施市政协全体委员会议、常务委员会议、主席会议的决议、决定。把政治协商纳入决策程序。完善提案审查、办理和反馈机制，充分调动委员参政议政积极性，</w:t>
      </w:r>
      <w:r>
        <w:rPr>
          <w:rFonts w:hint="eastAsia" w:ascii="宋体" w:hAnsi="宋体" w:eastAsia="宋体" w:cs="宋体"/>
          <w:sz w:val="28"/>
          <w:szCs w:val="28"/>
        </w:rPr>
        <w:t>确保各项工作正常运转。组织筹备及会务工作的完成率</w:t>
      </w:r>
      <w:r>
        <w:rPr>
          <w:rFonts w:hint="eastAsia" w:ascii="宋体" w:hAnsi="宋体" w:eastAsia="宋体" w:cs="宋体"/>
          <w:sz w:val="28"/>
          <w:szCs w:val="28"/>
          <w:lang w:val="en-US" w:eastAsia="zh-CN"/>
        </w:rPr>
        <w:t>20余</w:t>
      </w:r>
      <w:r>
        <w:rPr>
          <w:rFonts w:hint="eastAsia" w:ascii="宋体" w:hAnsi="宋体" w:eastAsia="宋体" w:cs="宋体"/>
          <w:sz w:val="28"/>
          <w:szCs w:val="28"/>
        </w:rPr>
        <w:t>次</w:t>
      </w:r>
      <w:r>
        <w:rPr>
          <w:rFonts w:hint="eastAsia" w:ascii="宋体" w:hAnsi="宋体" w:eastAsia="宋体" w:cs="宋体"/>
          <w:sz w:val="28"/>
          <w:szCs w:val="28"/>
          <w:lang w:eastAsia="zh-CN"/>
        </w:rPr>
        <w:t>、提案交办率100%、</w:t>
      </w:r>
      <w:r>
        <w:rPr>
          <w:rFonts w:hint="eastAsia" w:ascii="宋体" w:hAnsi="宋体" w:eastAsia="宋体" w:cs="宋体"/>
          <w:sz w:val="28"/>
          <w:szCs w:val="28"/>
          <w:lang w:val="en-US" w:eastAsia="zh-CN"/>
        </w:rPr>
        <w:t>重点课题和专项调研完成率100</w:t>
      </w:r>
      <w:r>
        <w:rPr>
          <w:rFonts w:hint="eastAsia" w:ascii="宋体" w:hAnsi="宋体" w:eastAsia="宋体" w:cs="宋体"/>
          <w:sz w:val="28"/>
          <w:szCs w:val="28"/>
        </w:rPr>
        <w:t xml:space="preserve">% </w:t>
      </w:r>
      <w:r>
        <w:rPr>
          <w:rFonts w:hint="eastAsia" w:ascii="宋体" w:hAnsi="宋体" w:eastAsia="宋体" w:cs="宋体"/>
          <w:sz w:val="28"/>
          <w:szCs w:val="28"/>
          <w:lang w:eastAsia="zh-CN"/>
        </w:rPr>
        <w:t>、监督工作任务完成率</w:t>
      </w:r>
      <w:r>
        <w:rPr>
          <w:rFonts w:hint="eastAsia" w:ascii="宋体" w:hAnsi="宋体" w:eastAsia="宋体" w:cs="宋体"/>
          <w:sz w:val="28"/>
          <w:szCs w:val="28"/>
        </w:rPr>
        <w:t>≥95%</w:t>
      </w:r>
      <w:r>
        <w:rPr>
          <w:rFonts w:hint="eastAsia" w:ascii="宋体" w:hAnsi="宋体" w:eastAsia="宋体" w:cs="宋体"/>
          <w:sz w:val="28"/>
          <w:szCs w:val="28"/>
          <w:lang w:eastAsia="zh-CN"/>
        </w:rPr>
        <w:t>、社情民意反映率</w:t>
      </w:r>
      <w:r>
        <w:rPr>
          <w:rFonts w:hint="eastAsia" w:ascii="宋体" w:hAnsi="宋体" w:eastAsia="宋体" w:cs="宋体"/>
          <w:sz w:val="28"/>
          <w:szCs w:val="28"/>
        </w:rPr>
        <w:t>≥</w:t>
      </w:r>
      <w:r>
        <w:rPr>
          <w:rFonts w:hint="eastAsia" w:ascii="宋体" w:hAnsi="宋体" w:eastAsia="宋体" w:cs="宋体"/>
          <w:sz w:val="28"/>
          <w:szCs w:val="28"/>
          <w:lang w:val="en-US" w:eastAsia="zh-CN"/>
        </w:rPr>
        <w:t>80</w:t>
      </w:r>
      <w:r>
        <w:rPr>
          <w:rFonts w:hint="eastAsia" w:ascii="宋体" w:hAnsi="宋体" w:eastAsia="宋体" w:cs="宋体"/>
          <w:sz w:val="28"/>
          <w:szCs w:val="28"/>
        </w:rPr>
        <w:t>%</w:t>
      </w:r>
      <w:r>
        <w:rPr>
          <w:rFonts w:hint="eastAsia" w:ascii="宋体" w:hAnsi="宋体" w:eastAsia="宋体" w:cs="宋体"/>
          <w:sz w:val="28"/>
          <w:szCs w:val="28"/>
          <w:lang w:eastAsia="zh-CN"/>
        </w:rPr>
        <w:t>、政协委员参政议政率，政协委员培训率</w:t>
      </w:r>
      <w:r>
        <w:rPr>
          <w:rFonts w:hint="eastAsia" w:ascii="宋体" w:hAnsi="宋体" w:eastAsia="宋体" w:cs="宋体"/>
          <w:sz w:val="28"/>
          <w:szCs w:val="28"/>
          <w:lang w:val="en-US" w:eastAsia="zh-CN"/>
        </w:rPr>
        <w:t>100</w:t>
      </w:r>
      <w:r>
        <w:rPr>
          <w:rFonts w:hint="eastAsia" w:ascii="宋体" w:hAnsi="宋体" w:eastAsia="宋体" w:cs="宋体"/>
          <w:sz w:val="28"/>
          <w:szCs w:val="28"/>
        </w:rPr>
        <w:t xml:space="preserve">% </w:t>
      </w:r>
      <w:r>
        <w:rPr>
          <w:rFonts w:hint="eastAsia" w:ascii="宋体" w:hAnsi="宋体" w:eastAsia="宋体" w:cs="宋体"/>
          <w:sz w:val="28"/>
          <w:szCs w:val="28"/>
          <w:lang w:eastAsia="zh-CN"/>
        </w:rPr>
        <w:t>，重点工作计划完成及时率，综合事务保证率，反映会议组织满意情况，</w:t>
      </w:r>
      <w:r>
        <w:rPr>
          <w:rFonts w:hint="eastAsia" w:ascii="宋体" w:hAnsi="宋体" w:eastAsia="宋体" w:cs="宋体"/>
          <w:sz w:val="28"/>
          <w:szCs w:val="28"/>
          <w:lang w:val="en-US" w:eastAsia="zh-CN"/>
        </w:rPr>
        <w:t>委员满意度</w:t>
      </w:r>
      <w:r>
        <w:rPr>
          <w:rFonts w:hint="eastAsia" w:ascii="宋体" w:hAnsi="宋体" w:eastAsia="宋体" w:cs="宋体"/>
          <w:sz w:val="28"/>
          <w:szCs w:val="28"/>
          <w:lang w:eastAsia="zh-CN"/>
        </w:rPr>
        <w:t>均</w:t>
      </w:r>
      <w:r>
        <w:rPr>
          <w:rFonts w:hint="eastAsia" w:ascii="宋体" w:hAnsi="宋体" w:eastAsia="宋体" w:cs="宋体"/>
          <w:sz w:val="28"/>
          <w:szCs w:val="28"/>
        </w:rPr>
        <w:t>≥95%</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4508962A">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、绩效自评分析</w:t>
      </w:r>
    </w:p>
    <w:p w14:paraId="3851361B">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（一）项目管理情况分析。</w:t>
      </w:r>
    </w:p>
    <w:p w14:paraId="6D5C8288">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我单位</w:t>
      </w:r>
      <w:r>
        <w:rPr>
          <w:rFonts w:hint="eastAsia" w:ascii="宋体" w:hAnsi="宋体" w:eastAsia="宋体" w:cs="宋体"/>
          <w:sz w:val="28"/>
          <w:szCs w:val="28"/>
          <w:lang w:eastAsia="zh-CN"/>
        </w:rPr>
        <w:t>预算项目</w:t>
      </w:r>
      <w:r>
        <w:rPr>
          <w:rFonts w:hint="eastAsia" w:ascii="宋体" w:hAnsi="宋体" w:eastAsia="宋体" w:cs="宋体"/>
          <w:sz w:val="28"/>
          <w:szCs w:val="28"/>
        </w:rPr>
        <w:t>工作均已于201</w:t>
      </w:r>
      <w:r>
        <w:rPr>
          <w:rFonts w:hint="eastAsia" w:ascii="宋体" w:hAnsi="宋体" w:eastAsia="宋体" w:cs="宋体"/>
          <w:sz w:val="28"/>
          <w:szCs w:val="28"/>
          <w:lang w:val="en-US" w:eastAsia="zh-CN"/>
        </w:rPr>
        <w:t>9</w:t>
      </w:r>
      <w:r>
        <w:rPr>
          <w:rFonts w:hint="eastAsia" w:ascii="宋体" w:hAnsi="宋体" w:eastAsia="宋体" w:cs="宋体"/>
          <w:sz w:val="28"/>
          <w:szCs w:val="28"/>
        </w:rPr>
        <w:t>年完成，完成了年度绩效目标。所有项目的日常管理工作均按照我单位相关管理制度执行，建立了工作有计划、实施有方案、日常有监督的管理机制，工作取得了较好的成效，效能得到了提高、获得了公众的好评。</w:t>
      </w:r>
    </w:p>
    <w:p w14:paraId="1E350E3F">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（二）资金管理情况分析。</w:t>
      </w:r>
    </w:p>
    <w:p w14:paraId="0121D615">
      <w:pPr>
        <w:widowControl/>
        <w:spacing w:line="560" w:lineRule="atLeast"/>
        <w:ind w:firstLine="560"/>
        <w:rPr>
          <w:rFonts w:hint="eastAsia" w:ascii="宋体" w:hAnsi="宋体" w:eastAsia="宋体" w:cs="宋体"/>
          <w:kern w:val="0"/>
          <w:sz w:val="28"/>
          <w:szCs w:val="28"/>
        </w:rPr>
      </w:pPr>
      <w:r>
        <w:rPr>
          <w:rFonts w:hint="eastAsia" w:ascii="宋体" w:hAnsi="宋体" w:eastAsia="宋体" w:cs="宋体"/>
          <w:kern w:val="0"/>
          <w:sz w:val="28"/>
          <w:szCs w:val="28"/>
        </w:rPr>
        <w:t>项目所有开支均按照我单位财务管理制度执行，资金的使用严格把关，整个项目的运行完全按照我单位内部管理制度、</w:t>
      </w:r>
      <w:r>
        <w:rPr>
          <w:rFonts w:hint="eastAsia" w:ascii="宋体" w:hAnsi="宋体" w:eastAsia="宋体" w:cs="宋体"/>
          <w:kern w:val="0"/>
          <w:sz w:val="28"/>
          <w:szCs w:val="28"/>
          <w:lang w:eastAsia="zh-CN"/>
        </w:rPr>
        <w:t>市委市政府</w:t>
      </w:r>
      <w:r>
        <w:rPr>
          <w:rFonts w:hint="eastAsia" w:ascii="宋体" w:hAnsi="宋体" w:eastAsia="宋体" w:cs="宋体"/>
          <w:kern w:val="0"/>
          <w:sz w:val="28"/>
          <w:szCs w:val="28"/>
        </w:rPr>
        <w:t>及财政的有关规定执行。单位内部不定期进行抽查，严格人员作风，不存在违规违法的问题。各个项目资金使用与具体项目实施内容相符，绩效总目标和阶段性目标都已按照计划完成，未逾期。</w:t>
      </w:r>
    </w:p>
    <w:p w14:paraId="43FD8E56">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（三）产出指标情况分析。</w:t>
      </w:r>
    </w:p>
    <w:p w14:paraId="75F1EE4B">
      <w:pPr>
        <w:spacing w:line="52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sz w:val="28"/>
          <w:szCs w:val="28"/>
        </w:rPr>
        <w:t>1、数量指标。</w:t>
      </w:r>
      <w:r>
        <w:rPr>
          <w:rFonts w:hint="eastAsia" w:ascii="宋体" w:hAnsi="宋体" w:eastAsia="宋体" w:cs="宋体"/>
          <w:kern w:val="0"/>
          <w:sz w:val="28"/>
          <w:szCs w:val="28"/>
          <w:lang w:eastAsia="zh-CN"/>
        </w:rPr>
        <w:t>所有目标完成率</w:t>
      </w:r>
      <w:r>
        <w:rPr>
          <w:rFonts w:hint="eastAsia" w:ascii="宋体" w:hAnsi="宋体" w:eastAsia="宋体" w:cs="宋体"/>
          <w:kern w:val="0"/>
          <w:sz w:val="28"/>
          <w:szCs w:val="28"/>
          <w:lang w:val="en-US" w:eastAsia="zh-CN"/>
        </w:rPr>
        <w:t>100%。</w:t>
      </w:r>
    </w:p>
    <w:p w14:paraId="1439B5B9">
      <w:pPr>
        <w:spacing w:line="52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2、质量指标。</w:t>
      </w:r>
      <w:r>
        <w:rPr>
          <w:rFonts w:hint="eastAsia" w:ascii="宋体" w:hAnsi="宋体" w:eastAsia="宋体" w:cs="宋体"/>
          <w:kern w:val="0"/>
          <w:sz w:val="28"/>
          <w:szCs w:val="28"/>
          <w:lang w:eastAsia="zh-CN"/>
        </w:rPr>
        <w:t>所有目标完成率</w:t>
      </w:r>
      <w:r>
        <w:rPr>
          <w:rFonts w:hint="eastAsia" w:ascii="宋体" w:hAnsi="宋体" w:eastAsia="宋体" w:cs="宋体"/>
          <w:kern w:val="0"/>
          <w:sz w:val="28"/>
          <w:szCs w:val="28"/>
          <w:lang w:val="en-US" w:eastAsia="zh-CN"/>
        </w:rPr>
        <w:t>100%。</w:t>
      </w:r>
    </w:p>
    <w:p w14:paraId="480979E6">
      <w:pPr>
        <w:spacing w:line="52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3、时效指标。</w:t>
      </w:r>
      <w:r>
        <w:rPr>
          <w:rFonts w:hint="eastAsia" w:ascii="宋体" w:hAnsi="宋体" w:eastAsia="宋体" w:cs="宋体"/>
          <w:kern w:val="0"/>
          <w:sz w:val="28"/>
          <w:szCs w:val="28"/>
          <w:lang w:eastAsia="zh-CN"/>
        </w:rPr>
        <w:t>所有目标完成率</w:t>
      </w:r>
      <w:r>
        <w:rPr>
          <w:rFonts w:hint="eastAsia" w:ascii="宋体" w:hAnsi="宋体" w:eastAsia="宋体" w:cs="宋体"/>
          <w:kern w:val="0"/>
          <w:sz w:val="28"/>
          <w:szCs w:val="28"/>
          <w:lang w:val="en-US" w:eastAsia="zh-CN"/>
        </w:rPr>
        <w:t>100%。</w:t>
      </w:r>
    </w:p>
    <w:p w14:paraId="2B59F529">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（四）效益指标情况分析。</w:t>
      </w:r>
    </w:p>
    <w:p w14:paraId="6A638A06">
      <w:pPr>
        <w:spacing w:line="52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可持续影响指标。</w:t>
      </w:r>
      <w:r>
        <w:rPr>
          <w:rFonts w:hint="eastAsia" w:ascii="宋体" w:hAnsi="宋体" w:eastAsia="宋体" w:cs="宋体"/>
          <w:kern w:val="0"/>
          <w:sz w:val="28"/>
          <w:szCs w:val="28"/>
          <w:lang w:val="en-US" w:eastAsia="zh-CN"/>
        </w:rPr>
        <w:t>所以</w:t>
      </w:r>
      <w:r>
        <w:rPr>
          <w:rFonts w:hint="eastAsia" w:ascii="宋体" w:hAnsi="宋体" w:eastAsia="宋体" w:cs="宋体"/>
          <w:sz w:val="28"/>
          <w:szCs w:val="28"/>
          <w:lang w:val="en-US" w:eastAsia="zh-CN"/>
        </w:rPr>
        <w:t>目标完成率为100%。</w:t>
      </w:r>
    </w:p>
    <w:p w14:paraId="60AF67FD">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（五）满意度指标情况分析。</w:t>
      </w:r>
    </w:p>
    <w:p w14:paraId="3C514CCF">
      <w:pPr>
        <w:spacing w:line="52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所有目标完成率为</w:t>
      </w:r>
      <w:r>
        <w:rPr>
          <w:rFonts w:hint="eastAsia" w:ascii="宋体" w:hAnsi="宋体" w:eastAsia="宋体" w:cs="宋体"/>
          <w:kern w:val="0"/>
          <w:sz w:val="28"/>
          <w:szCs w:val="28"/>
          <w:lang w:val="en-US" w:eastAsia="zh-CN"/>
        </w:rPr>
        <w:t>100%.</w:t>
      </w:r>
    </w:p>
    <w:p w14:paraId="0526884D">
      <w:pPr>
        <w:spacing w:line="520" w:lineRule="exact"/>
        <w:ind w:firstLine="560" w:firstLineChars="200"/>
        <w:rPr>
          <w:rFonts w:hint="eastAsia" w:ascii="宋体" w:hAnsi="宋体" w:eastAsia="宋体" w:cs="宋体"/>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lang w:eastAsia="zh-CN"/>
        </w:rPr>
        <w:t>五</w:t>
      </w:r>
      <w:r>
        <w:rPr>
          <w:rFonts w:hint="eastAsia" w:ascii="宋体" w:hAnsi="宋体" w:eastAsia="宋体" w:cs="宋体"/>
          <w:sz w:val="28"/>
          <w:szCs w:val="28"/>
        </w:rPr>
        <w:t>、项目绩效自评及评价结果</w:t>
      </w:r>
    </w:p>
    <w:p w14:paraId="1E2E306C">
      <w:pPr>
        <w:widowControl/>
        <w:spacing w:line="560" w:lineRule="atLeast"/>
        <w:ind w:firstLine="560"/>
        <w:rPr>
          <w:rFonts w:hint="eastAsia" w:ascii="宋体" w:hAnsi="宋体" w:eastAsia="宋体" w:cs="宋体"/>
          <w:sz w:val="28"/>
          <w:szCs w:val="28"/>
        </w:rPr>
      </w:pPr>
      <w:r>
        <w:rPr>
          <w:rFonts w:hint="eastAsia" w:ascii="宋体" w:hAnsi="宋体" w:eastAsia="宋体" w:cs="宋体"/>
          <w:kern w:val="0"/>
          <w:sz w:val="28"/>
          <w:szCs w:val="28"/>
        </w:rPr>
        <w:t>我单位201</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年从项目</w:t>
      </w:r>
      <w:r>
        <w:rPr>
          <w:rFonts w:hint="eastAsia" w:ascii="宋体" w:hAnsi="宋体" w:eastAsia="宋体" w:cs="宋体"/>
          <w:kern w:val="0"/>
          <w:sz w:val="28"/>
          <w:szCs w:val="28"/>
          <w:lang w:eastAsia="zh-CN"/>
        </w:rPr>
        <w:t>设立</w:t>
      </w:r>
      <w:r>
        <w:rPr>
          <w:rFonts w:hint="eastAsia" w:ascii="宋体" w:hAnsi="宋体" w:eastAsia="宋体" w:cs="宋体"/>
          <w:kern w:val="0"/>
          <w:sz w:val="28"/>
          <w:szCs w:val="28"/>
        </w:rPr>
        <w:t>、资金落实、业务管理</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财务管理、项目产出、项目效益</w:t>
      </w:r>
      <w:r>
        <w:rPr>
          <w:rFonts w:hint="eastAsia" w:ascii="宋体" w:hAnsi="宋体" w:eastAsia="宋体" w:cs="宋体"/>
          <w:kern w:val="0"/>
          <w:sz w:val="28"/>
          <w:szCs w:val="28"/>
          <w:lang w:eastAsia="zh-CN"/>
        </w:rPr>
        <w:t>等</w:t>
      </w:r>
      <w:r>
        <w:rPr>
          <w:rFonts w:hint="eastAsia" w:ascii="宋体" w:hAnsi="宋体" w:eastAsia="宋体" w:cs="宋体"/>
          <w:kern w:val="0"/>
          <w:sz w:val="28"/>
          <w:szCs w:val="28"/>
        </w:rPr>
        <w:t>6项指标</w:t>
      </w:r>
      <w:r>
        <w:rPr>
          <w:rFonts w:hint="eastAsia" w:ascii="宋体" w:hAnsi="宋体" w:eastAsia="宋体" w:cs="宋体"/>
          <w:kern w:val="0"/>
          <w:sz w:val="28"/>
          <w:szCs w:val="28"/>
          <w:lang w:eastAsia="zh-CN"/>
        </w:rPr>
        <w:t>进行自评</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自评平均</w:t>
      </w:r>
      <w:r>
        <w:rPr>
          <w:rFonts w:hint="eastAsia" w:ascii="宋体" w:hAnsi="宋体" w:eastAsia="宋体" w:cs="宋体"/>
          <w:kern w:val="0"/>
          <w:sz w:val="28"/>
          <w:szCs w:val="28"/>
        </w:rPr>
        <w:t>总分达到</w:t>
      </w:r>
      <w:r>
        <w:rPr>
          <w:rFonts w:hint="eastAsia" w:ascii="宋体" w:hAnsi="宋体" w:eastAsia="宋体" w:cs="宋体"/>
          <w:kern w:val="0"/>
          <w:sz w:val="28"/>
          <w:szCs w:val="28"/>
          <w:lang w:val="en-US" w:eastAsia="zh-CN"/>
        </w:rPr>
        <w:t>98</w:t>
      </w:r>
      <w:r>
        <w:rPr>
          <w:rFonts w:hint="eastAsia" w:ascii="宋体" w:hAnsi="宋体" w:eastAsia="宋体" w:cs="宋体"/>
          <w:kern w:val="0"/>
          <w:sz w:val="28"/>
          <w:szCs w:val="28"/>
        </w:rPr>
        <w:t>分</w:t>
      </w:r>
      <w:r>
        <w:rPr>
          <w:rFonts w:hint="eastAsia" w:ascii="宋体" w:hAnsi="宋体" w:eastAsia="宋体" w:cs="宋体"/>
          <w:kern w:val="0"/>
          <w:sz w:val="28"/>
          <w:szCs w:val="28"/>
          <w:lang w:eastAsia="zh-CN"/>
        </w:rPr>
        <w:t>，等级为优。</w:t>
      </w:r>
    </w:p>
    <w:p w14:paraId="065FD7A5">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、项目存在的问题和建议</w:t>
      </w:r>
    </w:p>
    <w:p w14:paraId="2C1B7935">
      <w:pPr>
        <w:widowControl/>
        <w:spacing w:line="560" w:lineRule="atLeast"/>
        <w:ind w:firstLine="585"/>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存在的主要问题是对预算绩效工作重视不够，认识不到位，导致绩效目标的设定和完成有所差异。</w:t>
      </w:r>
    </w:p>
    <w:p w14:paraId="7518AA50">
      <w:pPr>
        <w:widowControl/>
        <w:spacing w:line="560" w:lineRule="atLeast"/>
        <w:ind w:firstLine="585"/>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措施及建议：</w:t>
      </w:r>
    </w:p>
    <w:p w14:paraId="19F7D364">
      <w:pPr>
        <w:widowControl/>
        <w:spacing w:line="560" w:lineRule="atLeast"/>
        <w:ind w:firstLine="585"/>
        <w:rPr>
          <w:rFonts w:hint="eastAsia" w:ascii="宋体" w:hAnsi="宋体" w:eastAsia="宋体" w:cs="宋体"/>
          <w:kern w:val="0"/>
          <w:sz w:val="28"/>
          <w:szCs w:val="28"/>
        </w:rPr>
      </w:pPr>
      <w:r>
        <w:rPr>
          <w:rFonts w:hint="eastAsia" w:ascii="宋体" w:hAnsi="宋体" w:eastAsia="宋体" w:cs="宋体"/>
          <w:kern w:val="0"/>
          <w:sz w:val="28"/>
          <w:szCs w:val="28"/>
        </w:rPr>
        <w:t>1、进一步健全和完善财务管理制度及内部控制制度，创新管理手段，用新思路、新方法，改进完善财务管理方法。</w:t>
      </w:r>
    </w:p>
    <w:p w14:paraId="716BD118">
      <w:pPr>
        <w:widowControl/>
        <w:spacing w:line="560" w:lineRule="atLeast"/>
        <w:ind w:firstLine="585"/>
        <w:rPr>
          <w:rFonts w:hint="eastAsia" w:ascii="宋体" w:hAnsi="宋体" w:eastAsia="宋体" w:cs="宋体"/>
          <w:i w:val="0"/>
          <w:caps w:val="0"/>
          <w:color w:val="000000"/>
          <w:spacing w:val="0"/>
          <w:sz w:val="28"/>
          <w:szCs w:val="28"/>
          <w:shd w:val="clear" w:color="070000" w:fill="FFFFFF"/>
        </w:rPr>
      </w:pPr>
      <w:r>
        <w:rPr>
          <w:rFonts w:hint="eastAsia" w:ascii="宋体" w:hAnsi="宋体" w:eastAsia="宋体" w:cs="宋体"/>
          <w:kern w:val="0"/>
          <w:sz w:val="28"/>
          <w:szCs w:val="28"/>
        </w:rPr>
        <w:t>2、按照财政支出绩效管理的要求，建立科学的财政资金效益考评制度体系，不断提高财政资金使用管理的水平和效率。</w:t>
      </w:r>
    </w:p>
    <w:p w14:paraId="152C42E3"/>
    <w:p w14:paraId="1942BDF1">
      <w:pPr>
        <w:spacing w:before="0" w:after="0" w:line="480" w:lineRule="auto"/>
        <w:ind w:left="0" w:right="0" w:firstLine="0"/>
        <w:jc w:val="left"/>
        <w:rPr>
          <w:rFonts w:hint="eastAsia" w:ascii="宋体" w:hAnsi="宋体" w:eastAsia="宋体" w:cs="宋体"/>
          <w:b/>
          <w:color w:val="auto"/>
          <w:spacing w:val="0"/>
          <w:position w:val="0"/>
          <w:sz w:val="36"/>
          <w:szCs w:val="21"/>
          <w:shd w:val="clear" w:color="070000" w:fill="auto"/>
          <w:lang w:eastAsia="zh-CN"/>
        </w:rPr>
      </w:pPr>
      <w:r>
        <w:rPr>
          <w:rFonts w:hint="eastAsia" w:ascii="宋体" w:hAnsi="宋体" w:eastAsia="宋体" w:cs="宋体"/>
          <w:b/>
          <w:color w:val="auto"/>
          <w:spacing w:val="0"/>
          <w:position w:val="0"/>
          <w:sz w:val="36"/>
          <w:szCs w:val="21"/>
          <w:shd w:val="clear" w:color="070000" w:fill="auto"/>
          <w:lang w:eastAsia="zh-CN"/>
        </w:rPr>
        <w:t>附：</w:t>
      </w:r>
    </w:p>
    <w:p w14:paraId="6835801F">
      <w:pPr>
        <w:spacing w:before="0" w:after="0" w:line="480" w:lineRule="auto"/>
        <w:ind w:left="0" w:right="0" w:firstLine="0"/>
        <w:jc w:val="center"/>
        <w:rPr>
          <w:rFonts w:ascii="仿宋" w:hAnsi="仿宋" w:eastAsia="仿宋" w:cs="仿宋"/>
          <w:color w:val="auto"/>
          <w:spacing w:val="0"/>
          <w:position w:val="0"/>
          <w:sz w:val="32"/>
          <w:shd w:val="clear" w:color="050000" w:fill="auto"/>
        </w:rPr>
      </w:pPr>
      <w:r>
        <w:rPr>
          <w:rFonts w:ascii="宋体" w:hAnsi="宋体" w:eastAsia="宋体" w:cs="宋体"/>
          <w:b/>
          <w:color w:val="auto"/>
          <w:spacing w:val="0"/>
          <w:position w:val="0"/>
          <w:sz w:val="44"/>
          <w:shd w:val="clear" w:color="060000" w:fill="auto"/>
        </w:rPr>
        <w:t>部门整体支出绩效评价</w:t>
      </w:r>
      <w:r>
        <w:rPr>
          <w:rFonts w:ascii="宋体" w:hAnsi="宋体" w:eastAsia="宋体" w:cs="宋体"/>
          <w:b/>
          <w:color w:val="000000"/>
          <w:spacing w:val="0"/>
          <w:position w:val="0"/>
          <w:sz w:val="44"/>
          <w:shd w:val="clear" w:color="060000" w:fill="FFFFFF"/>
        </w:rPr>
        <w:t>指标体系评分表</w:t>
      </w:r>
    </w:p>
    <w:tbl>
      <w:tblPr>
        <w:tblStyle w:val="6"/>
        <w:tblW w:w="9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79"/>
        <w:gridCol w:w="743"/>
        <w:gridCol w:w="1275"/>
        <w:gridCol w:w="3436"/>
        <w:gridCol w:w="2373"/>
        <w:gridCol w:w="764"/>
      </w:tblGrid>
      <w:tr w14:paraId="2EA0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D9B478">
            <w:pPr>
              <w:widowControl w:val="0"/>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b/>
                <w:color w:val="auto"/>
                <w:spacing w:val="0"/>
                <w:position w:val="0"/>
                <w:sz w:val="24"/>
                <w:shd w:val="clear" w:color="060000" w:fill="auto"/>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164261">
            <w:pPr>
              <w:widowControl w:val="0"/>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b/>
                <w:color w:val="auto"/>
                <w:spacing w:val="0"/>
                <w:position w:val="0"/>
                <w:sz w:val="24"/>
                <w:shd w:val="clear" w:color="060000" w:fill="auto"/>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F00F4A">
            <w:pPr>
              <w:widowControl w:val="0"/>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b/>
                <w:color w:val="auto"/>
                <w:spacing w:val="0"/>
                <w:position w:val="0"/>
                <w:sz w:val="24"/>
                <w:shd w:val="clear" w:color="060000" w:fill="auto"/>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44E7A4">
            <w:pPr>
              <w:widowControl w:val="0"/>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b/>
                <w:color w:val="auto"/>
                <w:spacing w:val="0"/>
                <w:position w:val="0"/>
                <w:sz w:val="24"/>
                <w:shd w:val="clear" w:color="060000" w:fill="auto"/>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33A6E">
            <w:pPr>
              <w:widowControl w:val="0"/>
              <w:spacing w:before="0" w:after="0" w:line="240" w:lineRule="auto"/>
              <w:ind w:left="0" w:right="0" w:firstLine="0"/>
              <w:jc w:val="left"/>
              <w:rPr>
                <w:rFonts w:ascii="宋体" w:hAnsi="宋体" w:eastAsia="宋体" w:cs="宋体"/>
                <w:color w:val="auto"/>
                <w:spacing w:val="0"/>
                <w:position w:val="0"/>
                <w:shd w:val="clear" w:color="040000" w:fill="auto"/>
              </w:rPr>
            </w:pPr>
            <w:r>
              <w:rPr>
                <w:rFonts w:ascii="宋体" w:hAnsi="宋体" w:eastAsia="宋体" w:cs="宋体"/>
                <w:b/>
                <w:color w:val="auto"/>
                <w:spacing w:val="0"/>
                <w:position w:val="0"/>
                <w:sz w:val="24"/>
                <w:shd w:val="clear" w:color="060000" w:fill="auto"/>
              </w:rPr>
              <w:t>得分</w:t>
            </w:r>
          </w:p>
        </w:tc>
      </w:tr>
      <w:tr w14:paraId="04CC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CD40E8">
            <w:pPr>
              <w:widowControl w:val="0"/>
              <w:spacing w:before="0" w:after="0" w:line="400" w:lineRule="auto"/>
              <w:ind w:left="0" w:right="0" w:firstLine="0"/>
              <w:jc w:val="left"/>
              <w:rPr>
                <w:rFonts w:ascii="宋体" w:hAnsi="宋体" w:eastAsia="宋体" w:cs="宋体"/>
                <w:color w:val="auto"/>
                <w:spacing w:val="0"/>
                <w:position w:val="0"/>
                <w:sz w:val="22"/>
                <w:shd w:val="clear" w:color="05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BB1E5A">
            <w:pPr>
              <w:widowControl w:val="0"/>
              <w:spacing w:before="0" w:after="0" w:line="400" w:lineRule="auto"/>
              <w:ind w:left="0" w:right="0" w:firstLine="0"/>
              <w:jc w:val="left"/>
              <w:rPr>
                <w:rFonts w:ascii="宋体" w:hAnsi="宋体" w:eastAsia="宋体" w:cs="宋体"/>
                <w:color w:val="auto"/>
                <w:spacing w:val="0"/>
                <w:position w:val="0"/>
                <w:sz w:val="22"/>
                <w:shd w:val="clear" w:color="05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8D758">
            <w:pPr>
              <w:widowControl w:val="0"/>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b/>
                <w:color w:val="auto"/>
                <w:spacing w:val="0"/>
                <w:position w:val="0"/>
                <w:sz w:val="24"/>
                <w:shd w:val="clear" w:color="060000" w:fill="auto"/>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0978F4">
            <w:pPr>
              <w:widowControl w:val="0"/>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b/>
                <w:color w:val="auto"/>
                <w:spacing w:val="0"/>
                <w:position w:val="0"/>
                <w:sz w:val="24"/>
                <w:shd w:val="clear" w:color="060000" w:fill="auto"/>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2EE834">
            <w:pPr>
              <w:widowControl w:val="0"/>
              <w:spacing w:before="0" w:after="0" w:line="400" w:lineRule="auto"/>
              <w:ind w:left="0" w:right="0" w:firstLine="0"/>
              <w:jc w:val="left"/>
              <w:rPr>
                <w:rFonts w:ascii="宋体" w:hAnsi="宋体" w:eastAsia="宋体" w:cs="宋体"/>
                <w:color w:val="auto"/>
                <w:spacing w:val="0"/>
                <w:position w:val="0"/>
                <w:sz w:val="22"/>
                <w:shd w:val="clear" w:color="050000" w:fill="auto"/>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42ED28">
            <w:pPr>
              <w:widowControl w:val="0"/>
              <w:spacing w:before="0" w:after="0" w:line="400" w:lineRule="auto"/>
              <w:ind w:left="0" w:right="0" w:firstLine="0"/>
              <w:jc w:val="left"/>
              <w:rPr>
                <w:rFonts w:ascii="宋体" w:hAnsi="宋体" w:eastAsia="宋体" w:cs="宋体"/>
                <w:color w:val="auto"/>
                <w:spacing w:val="0"/>
                <w:position w:val="0"/>
                <w:sz w:val="22"/>
                <w:shd w:val="clear" w:color="050000" w:fill="auto"/>
              </w:rPr>
            </w:pPr>
          </w:p>
        </w:tc>
      </w:tr>
      <w:tr w14:paraId="03BD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D30D1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投入（10）</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D1125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绩效目标设定情况</w:t>
            </w:r>
          </w:p>
          <w:p w14:paraId="4ECB001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（5分）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C881F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职责明确 （1分）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4E9FD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A8317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符合（1）；</w:t>
            </w:r>
          </w:p>
          <w:p w14:paraId="79B602D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不符合（0）。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FBAA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1</w:t>
            </w:r>
          </w:p>
        </w:tc>
      </w:tr>
      <w:tr w14:paraId="46B2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BDEF3F">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4E4F38">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8D6DD">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活动合规性（2分）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25071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部门的活动是否在职责范围之内并符合部门中长期规划，用以反映和评价部门活动目标与部门履职、年度工作任务的相符性情况。</w:t>
            </w:r>
          </w:p>
          <w:p w14:paraId="729BCC24">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评价要点：</w:t>
            </w:r>
          </w:p>
          <w:p w14:paraId="3EA24C4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1.部门活动的设定在部门所确定的职责范围之内；</w:t>
            </w:r>
          </w:p>
          <w:p w14:paraId="00C1ED5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36CEC5">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全部符合（2）；</w:t>
            </w:r>
          </w:p>
          <w:p w14:paraId="1B08EE1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其中一项不符合（0）。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D60BE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2</w:t>
            </w:r>
          </w:p>
        </w:tc>
      </w:tr>
      <w:tr w14:paraId="6CDA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7BA022">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E75D47">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24106D">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活动合理性（2分）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86EA4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部门所设立的活动是否明确合理、活动的关键性指标设置是否可衡量，用以反映和评价部门活动目标设定的合理性。</w:t>
            </w:r>
          </w:p>
          <w:p w14:paraId="4597EDF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评价要点：</w:t>
            </w:r>
          </w:p>
          <w:p w14:paraId="19887CD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1.活动目标的设定是可量化的，可通过清晰、可衡量的关键指标值予以体现；</w:t>
            </w:r>
          </w:p>
          <w:p w14:paraId="123AFF39">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85F5F9">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全部符合（2）；</w:t>
            </w:r>
          </w:p>
          <w:p w14:paraId="6CE7C53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其中一项不符合（0）。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0170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2</w:t>
            </w:r>
          </w:p>
        </w:tc>
      </w:tr>
      <w:tr w14:paraId="51AD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772D66">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2DD0C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预算配置情况(5分)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188F3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在职人员控制率（1分）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B95689">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部门本年度实际在职人员数与编制数的比率，用以反映和评价部门对人员成本的控制程度。</w:t>
            </w:r>
          </w:p>
          <w:p w14:paraId="5A630F0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在职人员控制率=（在职人员数/编制数）×100%。</w:t>
            </w:r>
          </w:p>
          <w:p w14:paraId="69759F84">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在职人员数：部门实际在职人数，以财政部确定的部门决算编制口径为准，由编制部门和人劳部门批复同意的临聘人员除外。</w:t>
            </w:r>
          </w:p>
          <w:p w14:paraId="7F788F9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99DAB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1.在职人员控制率小于或等于100%的，得满分；</w:t>
            </w:r>
          </w:p>
          <w:p w14:paraId="7B14366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2.在职人员控制率大于或等于115%的，得0分；</w:t>
            </w:r>
          </w:p>
          <w:p w14:paraId="42453E8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3.在职人员控制率在100%-115%之间的，在0分和满分之间计算确定：</w:t>
            </w:r>
          </w:p>
          <w:p w14:paraId="297D1A2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得分=[max（在职人员控制率）－某部门在职人员控制率]/[max（在职人员控制率）－min（在职人员控制率）]×该指标分值。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47298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1</w:t>
            </w:r>
          </w:p>
        </w:tc>
      </w:tr>
      <w:tr w14:paraId="2124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20AD74">
            <w:pPr>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DD2166">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ADF2AF">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“三公经费”变动率（2分）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711415">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“三公经费”：年度预算安排的因公出国（境）费、公务车辆购置及运行费和公务招待费。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C7487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w:t>
            </w:r>
            <w:r>
              <w:rPr>
                <w:rFonts w:hint="eastAsia" w:ascii="宋体" w:hAnsi="宋体" w:eastAsia="宋体" w:cs="宋体"/>
                <w:color w:val="000000"/>
                <w:spacing w:val="0"/>
                <w:position w:val="0"/>
                <w:sz w:val="21"/>
                <w:szCs w:val="21"/>
                <w:shd w:val="clear" w:color="060000" w:fill="auto"/>
              </w:rPr>
              <w:t>“三公经费”变动率</w:t>
            </w:r>
            <w:r>
              <w:rPr>
                <w:rFonts w:hint="eastAsia" w:ascii="宋体" w:hAnsi="宋体" w:eastAsia="宋体" w:cs="宋体"/>
                <w:color w:val="auto"/>
                <w:spacing w:val="0"/>
                <w:position w:val="0"/>
                <w:sz w:val="21"/>
                <w:szCs w:val="21"/>
                <w:shd w:val="clear" w:color="060000" w:fill="auto"/>
              </w:rPr>
              <w:t>小于或等于-5%的，得满分；</w:t>
            </w:r>
          </w:p>
          <w:p w14:paraId="45999D5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w:t>
            </w:r>
            <w:r>
              <w:rPr>
                <w:rFonts w:hint="eastAsia" w:ascii="宋体" w:hAnsi="宋体" w:eastAsia="宋体" w:cs="宋体"/>
                <w:color w:val="000000"/>
                <w:spacing w:val="0"/>
                <w:position w:val="0"/>
                <w:sz w:val="21"/>
                <w:szCs w:val="21"/>
                <w:shd w:val="clear" w:color="060000" w:fill="auto"/>
              </w:rPr>
              <w:t>“三公经费”变动率</w:t>
            </w:r>
            <w:r>
              <w:rPr>
                <w:rFonts w:hint="eastAsia" w:ascii="宋体" w:hAnsi="宋体" w:eastAsia="宋体" w:cs="宋体"/>
                <w:color w:val="auto"/>
                <w:spacing w:val="0"/>
                <w:position w:val="0"/>
                <w:sz w:val="21"/>
                <w:szCs w:val="21"/>
                <w:shd w:val="clear" w:color="060000" w:fill="auto"/>
              </w:rPr>
              <w:t>大于或等于10%的，得0分；</w:t>
            </w:r>
          </w:p>
          <w:p w14:paraId="1448E34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3.在职人员控制率在-5%-10%之间的，在0分和满分之间计算确定：</w:t>
            </w:r>
          </w:p>
          <w:p w14:paraId="7F18A1D5">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auto"/>
                <w:spacing w:val="0"/>
                <w:position w:val="0"/>
                <w:sz w:val="21"/>
                <w:szCs w:val="21"/>
                <w:shd w:val="clear" w:color="060000" w:fill="auto"/>
              </w:rPr>
              <w:t>得分=[max（</w:t>
            </w:r>
            <w:r>
              <w:rPr>
                <w:rFonts w:hint="eastAsia" w:ascii="宋体" w:hAnsi="宋体" w:eastAsia="宋体" w:cs="宋体"/>
                <w:color w:val="000000"/>
                <w:spacing w:val="0"/>
                <w:position w:val="0"/>
                <w:sz w:val="21"/>
                <w:szCs w:val="21"/>
                <w:shd w:val="clear" w:color="060000" w:fill="auto"/>
              </w:rPr>
              <w:t>“三公经费”变动率</w:t>
            </w:r>
            <w:r>
              <w:rPr>
                <w:rFonts w:hint="eastAsia" w:ascii="宋体" w:hAnsi="宋体" w:eastAsia="宋体" w:cs="宋体"/>
                <w:color w:val="auto"/>
                <w:spacing w:val="0"/>
                <w:position w:val="0"/>
                <w:sz w:val="21"/>
                <w:szCs w:val="21"/>
                <w:shd w:val="clear" w:color="060000" w:fill="auto"/>
              </w:rPr>
              <w:t>）－</w:t>
            </w:r>
            <w:r>
              <w:rPr>
                <w:rFonts w:hint="eastAsia" w:ascii="宋体" w:hAnsi="宋体" w:eastAsia="宋体" w:cs="宋体"/>
                <w:color w:val="000000"/>
                <w:spacing w:val="0"/>
                <w:position w:val="0"/>
                <w:sz w:val="21"/>
                <w:szCs w:val="21"/>
                <w:shd w:val="clear" w:color="060000" w:fill="auto"/>
              </w:rPr>
              <w:t>“三公经费”变动率</w:t>
            </w:r>
            <w:r>
              <w:rPr>
                <w:rFonts w:hint="eastAsia" w:ascii="宋体" w:hAnsi="宋体" w:eastAsia="宋体" w:cs="宋体"/>
                <w:color w:val="auto"/>
                <w:spacing w:val="0"/>
                <w:position w:val="0"/>
                <w:sz w:val="21"/>
                <w:szCs w:val="21"/>
                <w:shd w:val="clear" w:color="060000" w:fill="auto"/>
              </w:rPr>
              <w:t>]/[max（</w:t>
            </w:r>
            <w:r>
              <w:rPr>
                <w:rFonts w:hint="eastAsia" w:ascii="宋体" w:hAnsi="宋体" w:eastAsia="宋体" w:cs="宋体"/>
                <w:color w:val="000000"/>
                <w:spacing w:val="0"/>
                <w:position w:val="0"/>
                <w:sz w:val="21"/>
                <w:szCs w:val="21"/>
                <w:shd w:val="clear" w:color="060000" w:fill="auto"/>
              </w:rPr>
              <w:t>“三公经费”变动率</w:t>
            </w:r>
            <w:r>
              <w:rPr>
                <w:rFonts w:hint="eastAsia" w:ascii="宋体" w:hAnsi="宋体" w:eastAsia="宋体" w:cs="宋体"/>
                <w:color w:val="auto"/>
                <w:spacing w:val="0"/>
                <w:position w:val="0"/>
                <w:sz w:val="21"/>
                <w:szCs w:val="21"/>
                <w:shd w:val="clear" w:color="060000" w:fill="auto"/>
              </w:rPr>
              <w:t>）－min（</w:t>
            </w:r>
            <w:r>
              <w:rPr>
                <w:rFonts w:hint="eastAsia" w:ascii="宋体" w:hAnsi="宋体" w:eastAsia="宋体" w:cs="宋体"/>
                <w:color w:val="000000"/>
                <w:spacing w:val="0"/>
                <w:position w:val="0"/>
                <w:sz w:val="21"/>
                <w:szCs w:val="21"/>
                <w:shd w:val="clear" w:color="060000" w:fill="auto"/>
              </w:rPr>
              <w:t>“三公经费”变动率</w:t>
            </w:r>
            <w:r>
              <w:rPr>
                <w:rFonts w:hint="eastAsia" w:ascii="宋体" w:hAnsi="宋体" w:eastAsia="宋体" w:cs="宋体"/>
                <w:color w:val="auto"/>
                <w:spacing w:val="0"/>
                <w:position w:val="0"/>
                <w:sz w:val="21"/>
                <w:szCs w:val="21"/>
                <w:shd w:val="clear" w:color="060000"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E9D51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2</w:t>
            </w:r>
          </w:p>
        </w:tc>
      </w:tr>
      <w:tr w14:paraId="65CD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5D6882">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0736E0">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F417B">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38361A">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部门本年度预算安排的重点项目支出与部门项目总支出的比率，用以反映和考核部门对履行主要职责或完成重点任务的保障程度。重点支出安排率=（重点项目支出/项目总支出）×100%。</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重点项目支出：部门（单位）年度预算安排的，与本部门履职和发展密切相关、具有明显社会和经济影响、党委政府关心或社会比较关注的项目支出总额。</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9BBEF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w:t>
            </w:r>
            <w:r>
              <w:rPr>
                <w:rFonts w:hint="eastAsia" w:ascii="宋体" w:hAnsi="宋体" w:eastAsia="宋体" w:cs="宋体"/>
                <w:color w:val="000000"/>
                <w:spacing w:val="0"/>
                <w:position w:val="0"/>
                <w:sz w:val="21"/>
                <w:szCs w:val="21"/>
                <w:shd w:val="clear" w:color="060000" w:fill="auto"/>
              </w:rPr>
              <w:t>重点支出安排率</w:t>
            </w:r>
            <w:r>
              <w:rPr>
                <w:rFonts w:hint="eastAsia" w:ascii="宋体" w:hAnsi="宋体" w:eastAsia="宋体" w:cs="宋体"/>
                <w:color w:val="auto"/>
                <w:spacing w:val="0"/>
                <w:position w:val="0"/>
                <w:sz w:val="21"/>
                <w:szCs w:val="21"/>
                <w:shd w:val="clear" w:color="060000" w:fill="auto"/>
              </w:rPr>
              <w:t>大于或等于95%的，得满分；</w:t>
            </w:r>
          </w:p>
          <w:p w14:paraId="4328FB3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w:t>
            </w:r>
            <w:r>
              <w:rPr>
                <w:rFonts w:hint="eastAsia" w:ascii="宋体" w:hAnsi="宋体" w:eastAsia="宋体" w:cs="宋体"/>
                <w:color w:val="000000"/>
                <w:spacing w:val="0"/>
                <w:position w:val="0"/>
                <w:sz w:val="21"/>
                <w:szCs w:val="21"/>
                <w:shd w:val="clear" w:color="060000" w:fill="auto"/>
              </w:rPr>
              <w:t>重点支出安排率</w:t>
            </w:r>
            <w:r>
              <w:rPr>
                <w:rFonts w:hint="eastAsia" w:ascii="宋体" w:hAnsi="宋体" w:eastAsia="宋体" w:cs="宋体"/>
                <w:color w:val="auto"/>
                <w:spacing w:val="0"/>
                <w:position w:val="0"/>
                <w:sz w:val="21"/>
                <w:szCs w:val="21"/>
                <w:shd w:val="clear" w:color="060000" w:fill="auto"/>
              </w:rPr>
              <w:t>小于或等于85%的，得0分；</w:t>
            </w:r>
          </w:p>
          <w:p w14:paraId="5C5E3F3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w:t>
            </w:r>
            <w:r>
              <w:rPr>
                <w:rFonts w:hint="eastAsia" w:ascii="宋体" w:hAnsi="宋体" w:eastAsia="宋体" w:cs="宋体"/>
                <w:color w:val="000000"/>
                <w:spacing w:val="0"/>
                <w:position w:val="0"/>
                <w:sz w:val="21"/>
                <w:szCs w:val="21"/>
                <w:shd w:val="clear" w:color="060000" w:fill="auto"/>
              </w:rPr>
              <w:t>重点支出安排率</w:t>
            </w:r>
            <w:r>
              <w:rPr>
                <w:rFonts w:hint="eastAsia" w:ascii="宋体" w:hAnsi="宋体" w:eastAsia="宋体" w:cs="宋体"/>
                <w:color w:val="auto"/>
                <w:spacing w:val="0"/>
                <w:position w:val="0"/>
                <w:sz w:val="21"/>
                <w:szCs w:val="21"/>
                <w:shd w:val="clear" w:color="060000" w:fill="auto"/>
              </w:rPr>
              <w:t>在85%-95%之间的，在0分和满分之间计算确定：</w:t>
            </w:r>
          </w:p>
          <w:p w14:paraId="0BE5ED51">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auto"/>
                <w:spacing w:val="0"/>
                <w:position w:val="0"/>
                <w:sz w:val="21"/>
                <w:szCs w:val="21"/>
                <w:shd w:val="clear" w:color="060000" w:fill="auto"/>
              </w:rPr>
              <w:t>得分=[某部门</w:t>
            </w:r>
            <w:r>
              <w:rPr>
                <w:rFonts w:hint="eastAsia" w:ascii="宋体" w:hAnsi="宋体" w:eastAsia="宋体" w:cs="宋体"/>
                <w:color w:val="000000"/>
                <w:spacing w:val="0"/>
                <w:position w:val="0"/>
                <w:sz w:val="21"/>
                <w:szCs w:val="21"/>
                <w:shd w:val="clear" w:color="060000" w:fill="auto"/>
              </w:rPr>
              <w:t>重点支出安排率</w:t>
            </w:r>
            <w:r>
              <w:rPr>
                <w:rFonts w:hint="eastAsia" w:ascii="宋体" w:hAnsi="宋体" w:eastAsia="宋体" w:cs="宋体"/>
                <w:color w:val="auto"/>
                <w:spacing w:val="0"/>
                <w:position w:val="0"/>
                <w:sz w:val="21"/>
                <w:szCs w:val="21"/>
                <w:shd w:val="clear" w:color="060000" w:fill="auto"/>
              </w:rPr>
              <w:t>-min（</w:t>
            </w:r>
            <w:r>
              <w:rPr>
                <w:rFonts w:hint="eastAsia" w:ascii="宋体" w:hAnsi="宋体" w:eastAsia="宋体" w:cs="宋体"/>
                <w:color w:val="000000"/>
                <w:spacing w:val="0"/>
                <w:position w:val="0"/>
                <w:sz w:val="21"/>
                <w:szCs w:val="21"/>
                <w:shd w:val="clear" w:color="060000" w:fill="auto"/>
              </w:rPr>
              <w:t>重点支出安排率</w:t>
            </w:r>
            <w:r>
              <w:rPr>
                <w:rFonts w:hint="eastAsia" w:ascii="宋体" w:hAnsi="宋体" w:eastAsia="宋体" w:cs="宋体"/>
                <w:color w:val="auto"/>
                <w:spacing w:val="0"/>
                <w:position w:val="0"/>
                <w:sz w:val="21"/>
                <w:szCs w:val="21"/>
                <w:shd w:val="clear" w:color="060000" w:fill="auto"/>
              </w:rPr>
              <w:t>）]/[max（</w:t>
            </w:r>
            <w:r>
              <w:rPr>
                <w:rFonts w:hint="eastAsia" w:ascii="宋体" w:hAnsi="宋体" w:eastAsia="宋体" w:cs="宋体"/>
                <w:color w:val="000000"/>
                <w:spacing w:val="0"/>
                <w:position w:val="0"/>
                <w:sz w:val="21"/>
                <w:szCs w:val="21"/>
                <w:shd w:val="clear" w:color="060000" w:fill="auto"/>
              </w:rPr>
              <w:t>重点支出安排率</w:t>
            </w:r>
            <w:r>
              <w:rPr>
                <w:rFonts w:hint="eastAsia" w:ascii="宋体" w:hAnsi="宋体" w:eastAsia="宋体" w:cs="宋体"/>
                <w:color w:val="auto"/>
                <w:spacing w:val="0"/>
                <w:position w:val="0"/>
                <w:sz w:val="21"/>
                <w:szCs w:val="21"/>
                <w:shd w:val="clear" w:color="060000" w:fill="auto"/>
              </w:rPr>
              <w:t>）－min（</w:t>
            </w:r>
            <w:r>
              <w:rPr>
                <w:rFonts w:hint="eastAsia" w:ascii="宋体" w:hAnsi="宋体" w:eastAsia="宋体" w:cs="宋体"/>
                <w:color w:val="000000"/>
                <w:spacing w:val="0"/>
                <w:position w:val="0"/>
                <w:sz w:val="21"/>
                <w:szCs w:val="21"/>
                <w:shd w:val="clear" w:color="060000" w:fill="auto"/>
              </w:rPr>
              <w:t>重点支出安排率</w:t>
            </w:r>
            <w:r>
              <w:rPr>
                <w:rFonts w:hint="eastAsia" w:ascii="宋体" w:hAnsi="宋体" w:eastAsia="宋体" w:cs="宋体"/>
                <w:color w:val="auto"/>
                <w:spacing w:val="0"/>
                <w:position w:val="0"/>
                <w:sz w:val="21"/>
                <w:szCs w:val="21"/>
                <w:shd w:val="clear" w:color="060000"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9172F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2</w:t>
            </w:r>
          </w:p>
        </w:tc>
      </w:tr>
      <w:tr w14:paraId="45B2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DA5F3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过程(45分)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E4615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预算执行情况(25分)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A3A34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预算完成率（5分）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AE504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通过对部门本年度预算完成数与预算数的比较，反映和评价部门预算的完成程度。</w:t>
            </w:r>
          </w:p>
          <w:p w14:paraId="2042CCC5">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预算完成率=（预算完成数/预算数）×100%。</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B4C47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1.预算完成率大于或等于95%的，得满分；</w:t>
            </w:r>
          </w:p>
          <w:p w14:paraId="66E7CC5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2.预算完成率小于或等于85%的，得0分；</w:t>
            </w:r>
          </w:p>
          <w:p w14:paraId="0024E0A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3.预算完成率在85%-95%之间的，在0分和满分之间计算确定：</w:t>
            </w:r>
          </w:p>
          <w:p w14:paraId="6692868D">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得分=[某部门预算完成率-min（预算完成率）]/[max（预算完成率）－min（预算完成率）]×该指标分值。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05D3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5</w:t>
            </w:r>
          </w:p>
        </w:tc>
      </w:tr>
      <w:tr w14:paraId="7B48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A023D">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714962">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3A3B2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预算调整率（3分）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33976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部门本年度预算调整数与预算数的比率，用以反映和评价部门预算的调整程度。</w:t>
            </w:r>
          </w:p>
          <w:p w14:paraId="1BA8524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预算调整率=（预算调整数/预算数）×100%。</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1D6D1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 xml:space="preserve">1.预算调整率等于0的，得满分； </w:t>
            </w:r>
          </w:p>
          <w:p w14:paraId="5EC4F074">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2.预算调整率大于或等于10%的，得0分；</w:t>
            </w:r>
          </w:p>
          <w:p w14:paraId="20E4CBA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3.预算调整率在0-10%之间的，在0分和满分之间确定：</w:t>
            </w:r>
          </w:p>
          <w:p w14:paraId="499870FD">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得分=［max（预算调整率）-某部门预算调整率］/［max（预算调整率）-min（预算调整率）］×该指标分值。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4D839D">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3</w:t>
            </w:r>
          </w:p>
        </w:tc>
      </w:tr>
      <w:tr w14:paraId="0869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7BFBAF">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E050D6">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02DC45">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支付进度率</w:t>
            </w:r>
            <w:r>
              <w:rPr>
                <w:rFonts w:hint="eastAsia" w:ascii="宋体" w:hAnsi="宋体" w:eastAsia="宋体" w:cs="宋体"/>
                <w:color w:val="auto"/>
                <w:spacing w:val="0"/>
                <w:position w:val="0"/>
                <w:sz w:val="21"/>
                <w:szCs w:val="21"/>
                <w:shd w:val="clear" w:color="060000" w:fill="auto"/>
              </w:rPr>
              <w:t>（5分）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C9730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部门年度支付数与年度任务数的比率，用以反映和评价部门预算执行的及时和均衡程度。</w:t>
            </w:r>
          </w:p>
          <w:p w14:paraId="790D09D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支付进度率=（年度支付数/年度任务数）×100%。</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6DC8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按年度的执行情况进行打分。得分=年度支付数/年度任务数×该指标分值。</w:t>
            </w:r>
          </w:p>
          <w:p w14:paraId="36E8D01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A71A94">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5</w:t>
            </w:r>
          </w:p>
        </w:tc>
      </w:tr>
      <w:tr w14:paraId="485F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4DE7D7">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B5FCE4">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5BBA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结转结余率（4分）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88D40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通过对部门本年度结转结余总额与支出预算数的比较，反映和评价部门对本年度结转结余资金的实际控制程度。</w:t>
            </w:r>
          </w:p>
          <w:p w14:paraId="0DD0F09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结转结余率=（结转结余总额/支出预算数）×100%。</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C5F8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1.结转结余率等于0的，得满分；</w:t>
            </w:r>
          </w:p>
          <w:p w14:paraId="3210C0F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2.结转结余率大于或等于50%的，得0分；</w:t>
            </w:r>
          </w:p>
          <w:p w14:paraId="7DB9BEE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3.结转结余率在0-50%之间的，在0和满分之间计算确定：</w:t>
            </w:r>
          </w:p>
          <w:p w14:paraId="7031F48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得分=[max（结转结余率）－某部门结转结余率]/[max（结转结余率）－min（结转结余率）]×该指标分值。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6D9A3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4</w:t>
            </w:r>
          </w:p>
        </w:tc>
      </w:tr>
      <w:tr w14:paraId="720B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3071BA">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6EF969">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AD2D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公用经费控制率（4分）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721BC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通过对部门本年度实际支出的公用经费总额与预算安排的公用经费总额的比率，反映和评价部门对机构运转成本的实际控制程度。</w:t>
            </w:r>
          </w:p>
          <w:p w14:paraId="7CC2348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公用经费控制率=（实际支出公用经费总额/预算安排公用经费总额）×100%。</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00610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1.公用经费控制率小于或等于100%的，得满分；</w:t>
            </w:r>
          </w:p>
          <w:p w14:paraId="249C888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2.公用经费控制率大于或等于105%的，得0分；</w:t>
            </w:r>
          </w:p>
          <w:p w14:paraId="2265D7F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3.公用经费控制率在100%-105%之间的，在0和满分之间计算确定：</w:t>
            </w:r>
          </w:p>
          <w:p w14:paraId="59BE5E6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得分=［max（公用经费控制率）-某部门公用经费控制率］/［max（公用经费控制率）-min（公用经费控制率）］×该指标分值。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F4018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4</w:t>
            </w:r>
          </w:p>
        </w:tc>
      </w:tr>
      <w:tr w14:paraId="198B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3F8D28">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0A3E4D">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6CCD9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政府采购执行率（4分）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133D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通过对部门本年度实际政府采购预算项目个数与政府采购预算项目个数的比较，反映和评价部门政府采购预算执行情况。</w:t>
            </w:r>
          </w:p>
          <w:p w14:paraId="79579B1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政府采购执行率=（实际政府采购预算项目个数/政府采购预算项目个数）×100%。</w:t>
            </w:r>
          </w:p>
          <w:p w14:paraId="38FB458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0F0EE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1.政府采购执行率等于100%的，得满分；</w:t>
            </w:r>
          </w:p>
          <w:p w14:paraId="34C4910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2.政府采购执行率小于或等于90%的，0分；</w:t>
            </w:r>
          </w:p>
          <w:p w14:paraId="2C4FC0C9">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3.政府采购执行率在90%-100%之间的，在0和满分之间计算确定：</w:t>
            </w:r>
          </w:p>
          <w:p w14:paraId="0765AFB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得分=［某部门政府采购执行率-min（政府采购执行率）］/［max（政府采购执行率）-min（政府采购执行率）］×该指标分值。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242BA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4</w:t>
            </w:r>
          </w:p>
        </w:tc>
      </w:tr>
      <w:tr w14:paraId="7299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194ADC">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463FE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预算管理情况</w:t>
            </w:r>
          </w:p>
          <w:p w14:paraId="540DAFF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（15）</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B2F4F4">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资金使用合规性（8分）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3A78F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部门使用预算资金是否符合相关的预算财务管理制度的规定，反映和评价部门预算资金的规范运行情况。</w:t>
            </w:r>
          </w:p>
          <w:p w14:paraId="515D6E8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评价要点：</w:t>
            </w:r>
          </w:p>
          <w:p w14:paraId="7FE0423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1.符合国家财经法规和财务管理制度规定以及有关部门资金管理办法的规定；</w:t>
            </w:r>
          </w:p>
          <w:p w14:paraId="24FD1DC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2.资金的拨付有完整的审批过程和手续；</w:t>
            </w:r>
          </w:p>
          <w:p w14:paraId="5CF9B3D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3.项目的重大开支经过评估论证；</w:t>
            </w:r>
          </w:p>
          <w:p w14:paraId="4258648D">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4.符合部门预算批复的用途；</w:t>
            </w:r>
          </w:p>
          <w:p w14:paraId="4E1F6F1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5.不存在截留情况；</w:t>
            </w:r>
          </w:p>
          <w:p w14:paraId="055FD0F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6.不存在挤占情况；</w:t>
            </w:r>
          </w:p>
          <w:p w14:paraId="412EB95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7.不存在挪用情况；</w:t>
            </w:r>
          </w:p>
          <w:p w14:paraId="799576E5">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8.不存在虚列支出情况。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13465">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全部符合（8）；</w:t>
            </w:r>
          </w:p>
          <w:p w14:paraId="301D1F9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符合其中七项（6）；</w:t>
            </w:r>
          </w:p>
          <w:p w14:paraId="3D78180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符合其中六项（4）；</w:t>
            </w:r>
          </w:p>
          <w:p w14:paraId="7D74030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符合其中五项（2）；</w:t>
            </w:r>
          </w:p>
          <w:p w14:paraId="19888E1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符合其中四项及以下（0）。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E5C9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8</w:t>
            </w:r>
          </w:p>
        </w:tc>
      </w:tr>
      <w:tr w14:paraId="1888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A81DAD">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B8761A">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332D54">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预决算信息公开性（3分）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D1513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部门是否按照政府信息公开有关规定公开相关预决算信息，用以反映和评价部门预决算管理的公开透明情况。</w:t>
            </w:r>
          </w:p>
          <w:p w14:paraId="5FDA806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预决算信息是指与部门预算、执行、决算、监督、绩效等管理相关的信息。</w:t>
            </w:r>
          </w:p>
          <w:p w14:paraId="78501C1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评价要点：</w:t>
            </w:r>
          </w:p>
          <w:p w14:paraId="26C78BF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1.公开预决算信息；</w:t>
            </w:r>
          </w:p>
          <w:p w14:paraId="6661C01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2.按规定内容公开预决算信息；</w:t>
            </w:r>
          </w:p>
          <w:p w14:paraId="533751C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17124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全部符合（3）；</w:t>
            </w:r>
          </w:p>
          <w:p w14:paraId="63414E2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符合其中两项（2）</w:t>
            </w:r>
          </w:p>
          <w:p w14:paraId="38196C29">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符合其中一项及以下（0）。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FECC0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3</w:t>
            </w:r>
          </w:p>
        </w:tc>
      </w:tr>
      <w:tr w14:paraId="36B1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DE1B21">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522F74">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B13D2">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基础信息完善性</w:t>
            </w:r>
            <w:r>
              <w:rPr>
                <w:rFonts w:hint="eastAsia" w:ascii="宋体" w:hAnsi="宋体" w:eastAsia="宋体" w:cs="宋体"/>
                <w:color w:val="auto"/>
                <w:spacing w:val="0"/>
                <w:position w:val="0"/>
                <w:sz w:val="21"/>
                <w:szCs w:val="21"/>
                <w:shd w:val="clear" w:color="060000" w:fill="auto"/>
              </w:rPr>
              <w:t>（4分）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B58BD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部门基础信息是否完善，用以反映和评价基础信息对预算管理工作的支撑情况。</w:t>
            </w:r>
          </w:p>
          <w:p w14:paraId="171081C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评价要点：</w:t>
            </w:r>
          </w:p>
          <w:p w14:paraId="62317306">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1.基本财务管理制度健全；</w:t>
            </w:r>
          </w:p>
          <w:p w14:paraId="7864D72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2.基础数据信息和会计信息资料真实；</w:t>
            </w:r>
          </w:p>
          <w:p w14:paraId="68A17E7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3.基础数据信息和会计信息资料完整；</w:t>
            </w:r>
          </w:p>
          <w:p w14:paraId="713BC70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4.基础数据信息和会计信息资料准确。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041DB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符合全部四项（4）；</w:t>
            </w:r>
          </w:p>
          <w:p w14:paraId="781C99B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符合其中三项（2）；</w:t>
            </w:r>
          </w:p>
          <w:p w14:paraId="1DE704ED">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符合其中两项（1）；</w:t>
            </w:r>
          </w:p>
          <w:p w14:paraId="2499268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符合其中一项及以下（0）。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47CD2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4</w:t>
            </w:r>
          </w:p>
        </w:tc>
      </w:tr>
      <w:tr w14:paraId="6B00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B5958D">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66DBC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资产管理情况（5分）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C71E1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资产管理完整性（2分）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5B2B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部门的资产是否保存完整、使用合规、收入及时足额上缴，用以反映和评价部门资产运行情况。</w:t>
            </w:r>
          </w:p>
          <w:p w14:paraId="0DDE11E5">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评价要点：</w:t>
            </w:r>
          </w:p>
          <w:p w14:paraId="19B2E80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1.资产保存完整；</w:t>
            </w:r>
          </w:p>
          <w:p w14:paraId="171A32F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2.资产账务管理是否合规，</w:t>
            </w:r>
            <w:bookmarkStart w:id="1" w:name="_GoBack"/>
            <w:bookmarkEnd w:id="1"/>
            <w:r>
              <w:rPr>
                <w:rFonts w:hint="eastAsia" w:ascii="宋体" w:hAnsi="宋体" w:cs="宋体"/>
                <w:color w:val="auto"/>
                <w:spacing w:val="0"/>
                <w:position w:val="0"/>
                <w:sz w:val="21"/>
                <w:szCs w:val="21"/>
                <w:shd w:val="clear" w:color="060000" w:fill="auto"/>
                <w:lang w:eastAsia="zh-CN"/>
              </w:rPr>
              <w:t>账实</w:t>
            </w:r>
            <w:r>
              <w:rPr>
                <w:rFonts w:hint="eastAsia" w:ascii="宋体" w:hAnsi="宋体" w:eastAsia="宋体" w:cs="宋体"/>
                <w:color w:val="auto"/>
                <w:spacing w:val="0"/>
                <w:position w:val="0"/>
                <w:sz w:val="21"/>
                <w:szCs w:val="21"/>
                <w:shd w:val="clear" w:color="060000" w:fill="auto"/>
              </w:rPr>
              <w:t>相符；</w:t>
            </w:r>
          </w:p>
          <w:p w14:paraId="30FD418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B8F71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符合全部三项（3）；</w:t>
            </w:r>
          </w:p>
          <w:p w14:paraId="752EB70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符合其中两项（2）；</w:t>
            </w:r>
          </w:p>
          <w:p w14:paraId="794C6DE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符合其中一项（1）；</w:t>
            </w:r>
          </w:p>
          <w:p w14:paraId="26D7D38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符合零项（0）。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CB34A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2</w:t>
            </w:r>
          </w:p>
        </w:tc>
      </w:tr>
      <w:tr w14:paraId="03BE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DE1B7A">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B72FC">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E84B51">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固定资产利用率（3分）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0540E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部门实际在用固定资产总额与所有固定资产总额的比率，用以反映和评价部门固定资产使用效率。</w:t>
            </w:r>
          </w:p>
          <w:p w14:paraId="5FA0B49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固定资产利用率=（实际在用固定资产总额/所有固定资产总额）×100%。</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30354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1.固定资产利用率大于或等于95%的，得满分；</w:t>
            </w:r>
          </w:p>
          <w:p w14:paraId="2563A545">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2.固定资产利用率小于或等于85%的，得0分；</w:t>
            </w:r>
          </w:p>
          <w:p w14:paraId="4B8E49D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3.固定资产利用率在85%-95%之间的，在0和满分之间计算确定：</w:t>
            </w:r>
          </w:p>
          <w:p w14:paraId="79E8BE9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得分=［某部门固定资产利用率-min（固定资产利用率）］/［max（固定资产利用率）-min（固定资产利用率）］×该指标分值。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76086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3</w:t>
            </w:r>
          </w:p>
        </w:tc>
      </w:tr>
      <w:tr w14:paraId="3728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51C26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产出(25分)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96421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职责履行情况（25）</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EA020E">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履职完成情况（10分）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62B4AF">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根据年度主要任务分解表的的具体任务，逐项评价任务量化指标完成情况、实施效果和责任制建立情况。用以反映和考核部门（单位）履职工作任务目标的完成情况。评价要点：</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 xml:space="preserve">1.每项任务是否已制定了明确、具体、可量化、可衡量的绩效指标；           </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2.每项任务绩效指标的完成情况，是全部完成、基本完成、未完成，还是未实施；</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3.每项任务实施效果情况，是优秀、良好、一般，还是无效果；</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04191D">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BE6263">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cs="宋体"/>
                <w:color w:val="auto"/>
                <w:spacing w:val="0"/>
                <w:position w:val="0"/>
                <w:sz w:val="21"/>
                <w:szCs w:val="21"/>
                <w:shd w:val="clear" w:color="060000" w:fill="auto"/>
                <w:lang w:val="en-US" w:eastAsia="zh-CN"/>
              </w:rPr>
              <w:t>10</w:t>
            </w:r>
          </w:p>
        </w:tc>
      </w:tr>
      <w:tr w14:paraId="3A50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C594DA">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CEB9DA">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7805B">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项目完成质量达标率（15）</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BFDCA2">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部门已完成项目中质量达标项目个数占已完成项目个数的比率,用以反映和评价部门履职质量目标的实现程度。</w:t>
            </w:r>
          </w:p>
          <w:p w14:paraId="248D02F5">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项目质量达标率=（已完成项目中质量达标项目个数/已完成项目个数）×100%。</w:t>
            </w:r>
          </w:p>
          <w:p w14:paraId="00889404">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29727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1.项目质量达标率等于100%的，得满分；</w:t>
            </w:r>
          </w:p>
          <w:p w14:paraId="484F039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2.项目质量达标率小于或等于99%的，得0分；</w:t>
            </w:r>
          </w:p>
          <w:p w14:paraId="1D93629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 xml:space="preserve">3.项目质量达标率在99%-100%之间的，在0和满分之间计算确定： </w:t>
            </w:r>
          </w:p>
          <w:p w14:paraId="776FB6A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得分=［某部门项目质量达标率-min（项目质量达标率）］/［max（项目质量达标率）-min（项目质量达标率）］×该指标分值。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260F90">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1</w:t>
            </w:r>
            <w:r>
              <w:rPr>
                <w:rFonts w:hint="eastAsia" w:ascii="宋体" w:hAnsi="宋体" w:cs="宋体"/>
                <w:color w:val="auto"/>
                <w:spacing w:val="0"/>
                <w:position w:val="0"/>
                <w:sz w:val="21"/>
                <w:szCs w:val="21"/>
                <w:shd w:val="clear" w:color="060000" w:fill="auto"/>
                <w:lang w:val="en-US" w:eastAsia="zh-CN"/>
              </w:rPr>
              <w:t>5</w:t>
            </w:r>
          </w:p>
        </w:tc>
      </w:tr>
      <w:tr w14:paraId="63AC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F8C225">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效果（20分）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B9497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p>
          <w:p w14:paraId="4734B6D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履职效益情况</w:t>
            </w:r>
          </w:p>
          <w:p w14:paraId="678ADF2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（20分）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6BA630">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经济效益</w:t>
            </w:r>
            <w:r>
              <w:rPr>
                <w:rFonts w:hint="eastAsia" w:ascii="宋体" w:hAnsi="宋体" w:eastAsia="宋体" w:cs="宋体"/>
                <w:color w:val="auto"/>
                <w:spacing w:val="0"/>
                <w:position w:val="0"/>
                <w:sz w:val="21"/>
                <w:szCs w:val="21"/>
                <w:shd w:val="clear" w:color="060000" w:fill="auto"/>
              </w:rPr>
              <w:t>（5分）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296B3A">
            <w:pPr>
              <w:widowControl w:val="0"/>
              <w:spacing w:before="0" w:after="0" w:line="240" w:lineRule="auto"/>
              <w:ind w:left="0" w:right="0" w:firstLine="0"/>
              <w:jc w:val="left"/>
              <w:rPr>
                <w:rFonts w:hint="eastAsia" w:ascii="宋体" w:hAnsi="宋体" w:eastAsia="宋体" w:cs="宋体"/>
                <w:color w:val="000000"/>
                <w:spacing w:val="0"/>
                <w:position w:val="0"/>
                <w:sz w:val="21"/>
                <w:szCs w:val="21"/>
                <w:shd w:val="clear" w:color="060000" w:fill="auto"/>
              </w:rPr>
            </w:pPr>
            <w:r>
              <w:rPr>
                <w:rFonts w:hint="eastAsia" w:ascii="宋体" w:hAnsi="宋体" w:eastAsia="宋体" w:cs="宋体"/>
                <w:color w:val="000000"/>
                <w:spacing w:val="0"/>
                <w:position w:val="0"/>
                <w:sz w:val="21"/>
                <w:szCs w:val="21"/>
                <w:shd w:val="clear" w:color="060000" w:fill="auto"/>
              </w:rPr>
              <w:t>部门及所属二级单位通过履行职责和预算安排支出项目的实施，对我市带来的经济影响。</w:t>
            </w:r>
          </w:p>
          <w:p w14:paraId="4E88E593">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评价要点：</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 xml:space="preserve">1.通过部门所属企事业单位改革，促进了企事业单位效益增长情况；          </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2.通过预算支出项目的实施，促进了行业生产能力增长，从而带动行业经济效益增长；</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3.通过预算支出项目的实施，有效提高劳动效率，节约成本费用；</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4.通过预算支出项目的实施，降低了损耗，从而提高了生产效益；</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520703">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E8DC4C">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cs="宋体"/>
                <w:color w:val="auto"/>
                <w:spacing w:val="0"/>
                <w:position w:val="0"/>
                <w:sz w:val="21"/>
                <w:szCs w:val="21"/>
                <w:shd w:val="clear" w:color="060000" w:fill="auto"/>
                <w:lang w:val="en-US" w:eastAsia="zh-CN"/>
              </w:rPr>
              <w:t>4</w:t>
            </w:r>
          </w:p>
        </w:tc>
      </w:tr>
      <w:tr w14:paraId="2D20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24D41">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49EAAB">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5854DA">
            <w:pPr>
              <w:widowControl w:val="0"/>
              <w:spacing w:before="0" w:after="0" w:line="240" w:lineRule="auto"/>
              <w:ind w:left="0" w:right="0" w:firstLine="0"/>
              <w:jc w:val="both"/>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社会效益（5分）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D194A">
            <w:pPr>
              <w:widowControl w:val="0"/>
              <w:spacing w:before="0" w:after="0" w:line="240" w:lineRule="auto"/>
              <w:ind w:left="0" w:right="0" w:firstLine="0"/>
              <w:jc w:val="both"/>
              <w:rPr>
                <w:rFonts w:hint="eastAsia" w:ascii="宋体" w:hAnsi="宋体" w:eastAsia="宋体" w:cs="宋体"/>
                <w:color w:val="000000"/>
                <w:spacing w:val="0"/>
                <w:position w:val="0"/>
                <w:sz w:val="21"/>
                <w:szCs w:val="21"/>
                <w:shd w:val="clear" w:color="060000" w:fill="auto"/>
              </w:rPr>
            </w:pPr>
            <w:r>
              <w:rPr>
                <w:rFonts w:hint="eastAsia" w:ascii="宋体" w:hAnsi="宋体" w:eastAsia="宋体" w:cs="宋体"/>
                <w:color w:val="000000"/>
                <w:spacing w:val="0"/>
                <w:position w:val="0"/>
                <w:sz w:val="21"/>
                <w:szCs w:val="21"/>
                <w:shd w:val="clear" w:color="060000" w:fill="auto"/>
              </w:rPr>
              <w:t>部门及所属二级单位履行职责对社会发展所带来的直接或间接影响。</w:t>
            </w:r>
          </w:p>
          <w:p w14:paraId="24B94853">
            <w:pPr>
              <w:widowControl w:val="0"/>
              <w:spacing w:before="0" w:after="0" w:line="240" w:lineRule="auto"/>
              <w:ind w:left="0" w:right="0" w:firstLine="0"/>
              <w:jc w:val="both"/>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评价要点：</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 xml:space="preserve">1.通过部门所属企事业单位的改革，促进了企事业单位可持续发展，带动就业增长情况；          </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2.通过预算支出项目的实施，是否明显促进了行业精神文明建设；</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3.通过部门履职是否明显提高城乡居民生活水平，满足了人们日益增长的物质与文化生活需求；</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4.通过预算项目的实施，是否提高了劳动生产率，降低了劳动强度，促进了劳动人民的身心健康；</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6CE92">
            <w:pPr>
              <w:widowControl w:val="0"/>
              <w:spacing w:before="0" w:after="0" w:line="240" w:lineRule="auto"/>
              <w:ind w:left="0" w:right="0" w:firstLine="0"/>
              <w:jc w:val="both"/>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F6233F">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5</w:t>
            </w:r>
          </w:p>
        </w:tc>
      </w:tr>
      <w:tr w14:paraId="4876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438FEE">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98EE3D">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8D1541">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生态效益（5分）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53D335">
            <w:pPr>
              <w:widowControl w:val="0"/>
              <w:spacing w:before="0" w:after="0" w:line="240" w:lineRule="auto"/>
              <w:ind w:left="0" w:right="0" w:firstLine="0"/>
              <w:jc w:val="left"/>
              <w:rPr>
                <w:rFonts w:hint="eastAsia" w:ascii="宋体" w:hAnsi="宋体" w:eastAsia="宋体" w:cs="宋体"/>
                <w:color w:val="000000"/>
                <w:spacing w:val="0"/>
                <w:position w:val="0"/>
                <w:sz w:val="21"/>
                <w:szCs w:val="21"/>
                <w:shd w:val="clear" w:color="060000" w:fill="auto"/>
              </w:rPr>
            </w:pPr>
            <w:r>
              <w:rPr>
                <w:rFonts w:hint="eastAsia" w:ascii="宋体" w:hAnsi="宋体" w:eastAsia="宋体" w:cs="宋体"/>
                <w:color w:val="000000"/>
                <w:spacing w:val="0"/>
                <w:position w:val="0"/>
                <w:sz w:val="21"/>
                <w:szCs w:val="21"/>
                <w:shd w:val="clear" w:color="060000" w:fill="auto"/>
              </w:rPr>
              <w:t>部门及所属二级单位履行职责对生态环境所带来的直接或间接影响。</w:t>
            </w:r>
          </w:p>
          <w:p w14:paraId="17106FA5">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评价要点：</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1.通过预算支出项目的实施，绿色、节能环保新技术的应用和推广，明显带动各环节的节能减排，也具有一定的环境效益；</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2.通过履职有效地控制虚假、伪劣、霉变等劣质产品进入市场，影响了人民生活质量，净化地市场环境；</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3.通过预算支出项目的实施，是否达到减少污染物排放；</w:t>
            </w:r>
            <w:r>
              <w:rPr>
                <w:rFonts w:hint="eastAsia" w:ascii="宋体" w:hAnsi="宋体" w:eastAsia="宋体" w:cs="宋体"/>
                <w:color w:val="000000"/>
                <w:spacing w:val="0"/>
                <w:position w:val="0"/>
                <w:sz w:val="21"/>
                <w:szCs w:val="21"/>
                <w:shd w:val="clear" w:color="060000" w:fill="auto"/>
              </w:rPr>
              <w:br w:type="textWrapping"/>
            </w:r>
            <w:r>
              <w:rPr>
                <w:rFonts w:hint="eastAsia" w:ascii="宋体" w:hAnsi="宋体" w:eastAsia="宋体" w:cs="宋体"/>
                <w:color w:val="000000"/>
                <w:spacing w:val="0"/>
                <w:position w:val="0"/>
                <w:sz w:val="21"/>
                <w:szCs w:val="21"/>
                <w:shd w:val="clear" w:color="060000" w:fill="auto"/>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8A27C">
            <w:pPr>
              <w:widowControl w:val="0"/>
              <w:spacing w:before="0" w:after="0" w:line="240" w:lineRule="auto"/>
              <w:ind w:left="0" w:right="0" w:firstLine="0"/>
              <w:jc w:val="left"/>
              <w:rPr>
                <w:rFonts w:hint="eastAsia" w:ascii="宋体" w:hAnsi="宋体" w:eastAsia="宋体" w:cs="宋体"/>
                <w:spacing w:val="0"/>
                <w:position w:val="0"/>
                <w:sz w:val="21"/>
                <w:szCs w:val="21"/>
                <w:shd w:val="clear" w:color="050000" w:fill="auto"/>
              </w:rPr>
            </w:pPr>
            <w:r>
              <w:rPr>
                <w:rFonts w:hint="eastAsia" w:ascii="宋体" w:hAnsi="宋体" w:eastAsia="宋体" w:cs="宋体"/>
                <w:color w:val="000000"/>
                <w:spacing w:val="0"/>
                <w:position w:val="0"/>
                <w:sz w:val="21"/>
                <w:szCs w:val="21"/>
                <w:shd w:val="clear" w:color="060000" w:fill="auto"/>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8F68E7">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cs="宋体"/>
                <w:color w:val="auto"/>
                <w:spacing w:val="0"/>
                <w:position w:val="0"/>
                <w:sz w:val="21"/>
                <w:szCs w:val="21"/>
                <w:shd w:val="clear" w:color="060000" w:fill="auto"/>
                <w:lang w:val="en-US" w:eastAsia="zh-CN"/>
              </w:rPr>
              <w:t>4</w:t>
            </w:r>
          </w:p>
        </w:tc>
      </w:tr>
      <w:tr w14:paraId="0C8C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09A640">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E55BB8">
            <w:pPr>
              <w:widowControl w:val="0"/>
              <w:spacing w:before="0" w:after="0" w:line="400" w:lineRule="auto"/>
              <w:ind w:left="0" w:right="0" w:firstLine="0"/>
              <w:jc w:val="left"/>
              <w:rPr>
                <w:rFonts w:hint="eastAsia" w:ascii="宋体" w:hAnsi="宋体" w:eastAsia="宋体" w:cs="宋体"/>
                <w:color w:val="auto"/>
                <w:spacing w:val="0"/>
                <w:position w:val="0"/>
                <w:sz w:val="21"/>
                <w:szCs w:val="21"/>
                <w:shd w:val="clear" w:color="060000"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76A895">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服务对象满意度（5）</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F928FA">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40EFF5">
            <w:pPr>
              <w:widowControl w:val="0"/>
              <w:spacing w:before="0" w:after="0" w:line="240" w:lineRule="auto"/>
              <w:ind w:left="0" w:right="0" w:firstLine="0"/>
              <w:jc w:val="both"/>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按照满意度调查的优秀、良好、合格、不合格给予该项指标打分：</w:t>
            </w:r>
          </w:p>
          <w:p w14:paraId="736C5173">
            <w:pPr>
              <w:widowControl w:val="0"/>
              <w:spacing w:before="0" w:after="0" w:line="240" w:lineRule="auto"/>
              <w:ind w:left="0" w:right="0" w:firstLine="0"/>
              <w:jc w:val="both"/>
              <w:rPr>
                <w:rFonts w:hint="eastAsia" w:ascii="宋体" w:hAnsi="宋体" w:eastAsia="宋体" w:cs="宋体"/>
                <w:color w:val="auto"/>
                <w:spacing w:val="0"/>
                <w:position w:val="0"/>
                <w:sz w:val="21"/>
                <w:szCs w:val="21"/>
                <w:shd w:val="clear" w:color="060000" w:fill="auto"/>
              </w:rPr>
            </w:pPr>
            <w:r>
              <w:rPr>
                <w:rFonts w:hint="eastAsia" w:ascii="宋体" w:hAnsi="宋体" w:eastAsia="宋体" w:cs="宋体"/>
                <w:color w:val="auto"/>
                <w:spacing w:val="0"/>
                <w:position w:val="0"/>
                <w:sz w:val="21"/>
                <w:szCs w:val="21"/>
                <w:shd w:val="clear" w:color="060000" w:fill="auto"/>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53788">
            <w:pPr>
              <w:widowControl w:val="0"/>
              <w:spacing w:before="0" w:after="0" w:line="240" w:lineRule="auto"/>
              <w:ind w:left="0" w:right="0" w:firstLine="0"/>
              <w:jc w:val="left"/>
              <w:rPr>
                <w:rFonts w:hint="eastAsia" w:ascii="宋体" w:hAnsi="宋体" w:eastAsia="宋体" w:cs="宋体"/>
                <w:color w:val="auto"/>
                <w:spacing w:val="0"/>
                <w:position w:val="0"/>
                <w:sz w:val="21"/>
                <w:szCs w:val="21"/>
                <w:shd w:val="clear" w:color="060000" w:fill="auto"/>
                <w:lang w:val="en-US" w:eastAsia="zh-CN"/>
              </w:rPr>
            </w:pPr>
            <w:r>
              <w:rPr>
                <w:rFonts w:hint="eastAsia" w:ascii="宋体" w:hAnsi="宋体" w:eastAsia="宋体" w:cs="宋体"/>
                <w:color w:val="auto"/>
                <w:spacing w:val="0"/>
                <w:position w:val="0"/>
                <w:sz w:val="21"/>
                <w:szCs w:val="21"/>
                <w:shd w:val="clear" w:color="060000" w:fill="auto"/>
                <w:lang w:val="en-US" w:eastAsia="zh-CN"/>
              </w:rPr>
              <w:t>5</w:t>
            </w:r>
          </w:p>
        </w:tc>
      </w:tr>
    </w:tbl>
    <w:p w14:paraId="3C716EE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B732A5E"/>
    <w:rsid w:val="01D64349"/>
    <w:rsid w:val="15883253"/>
    <w:rsid w:val="168B22C3"/>
    <w:rsid w:val="2AFF06C0"/>
    <w:rsid w:val="2B1C5C89"/>
    <w:rsid w:val="34833F98"/>
    <w:rsid w:val="34BF207A"/>
    <w:rsid w:val="351931F4"/>
    <w:rsid w:val="38557BBA"/>
    <w:rsid w:val="39B02718"/>
    <w:rsid w:val="47E1431C"/>
    <w:rsid w:val="4A897AA0"/>
    <w:rsid w:val="4C3A371B"/>
    <w:rsid w:val="58E06575"/>
    <w:rsid w:val="6068599C"/>
    <w:rsid w:val="6AB260C6"/>
    <w:rsid w:val="6DFB003C"/>
    <w:rsid w:val="70446C03"/>
    <w:rsid w:val="749E67D5"/>
    <w:rsid w:val="768F5CB5"/>
    <w:rsid w:val="7A8E47E1"/>
    <w:rsid w:val="7B732A5E"/>
    <w:rsid w:val="7CDF6C2C"/>
    <w:rsid w:val="7DD377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paragraph" w:styleId="5">
    <w:name w:val="Body Text First Indent 2"/>
    <w:basedOn w:val="2"/>
    <w:qFormat/>
    <w:uiPriority w:val="0"/>
    <w:pPr>
      <w:ind w:left="200" w:leftChars="200" w:firstLine="420"/>
    </w:pPr>
    <w:rPr>
      <w:rFonts w:asci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1844</Words>
  <Characters>1878</Characters>
  <Lines>0</Lines>
  <Paragraphs>0</Paragraphs>
  <TotalTime>10</TotalTime>
  <ScaleCrop>false</ScaleCrop>
  <LinksUpToDate>false</LinksUpToDate>
  <CharactersWithSpaces>1916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2020-11-17T02:36:00Z</dcterms:created>
  <dc:creator>Administrator</dc:creator>
  <cp:lastModifiedBy>早开的晚霞。</cp:lastModifiedBy>
  <cp:lastPrinted>2020-12-03T01:53:00Z</cp:lastPrinted>
  <dcterms:modified xsi:type="dcterms:W3CDTF">2025-02-26T12:19:59Z</dcterms:modified>
  <dc:title>中国人民政治协商会议沙河市委员会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93F698FB09EA455BAD5A8A614C2BBE06</vt:lpwstr>
  </property>
  <property fmtid="{D5CDD505-2E9C-101B-9397-08002B2CF9AE}" pid="4" name="KSOTemplateDocerSaveRecord">
    <vt:lpwstr>eyJoZGlkIjoiM2NlMTgyOGNjMDcxMDExZTMzODViNzVhZTEyY2YxYjkiLCJ1c2VySWQiOiI2NDU1NzE2NTcifQ==</vt:lpwstr>
  </property>
</Properties>
</file>