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7CC38">
      <w:pPr>
        <w:pStyle w:val="5"/>
        <w:keepNext w:val="0"/>
        <w:keepLines w:val="0"/>
        <w:pageBreakBefore w:val="0"/>
        <w:widowControl/>
        <w:kinsoku/>
        <w:wordWrap/>
        <w:overflowPunct/>
        <w:topLinePunct w:val="0"/>
        <w:autoSpaceDE/>
        <w:autoSpaceDN/>
        <w:bidi w:val="0"/>
        <w:adjustRightInd/>
        <w:snapToGrid/>
        <w:spacing w:before="157" w:beforeLines="50" w:beforeAutospacing="0" w:afterAutospacing="0" w:line="500" w:lineRule="exact"/>
        <w:jc w:val="center"/>
        <w:textAlignment w:val="auto"/>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color w:val="333333"/>
          <w:sz w:val="36"/>
          <w:szCs w:val="36"/>
        </w:rPr>
        <w:t>沙河市公安局2024年政府信息公开工作年度报告</w:t>
      </w:r>
    </w:p>
    <w:p w14:paraId="0719AC7D">
      <w:pPr>
        <w:keepNext w:val="0"/>
        <w:keepLines w:val="0"/>
        <w:pageBreakBefore w:val="0"/>
        <w:kinsoku/>
        <w:wordWrap/>
        <w:overflowPunct/>
        <w:topLinePunct w:val="0"/>
        <w:autoSpaceDE/>
        <w:autoSpaceDN/>
        <w:bidi w:val="0"/>
        <w:adjustRightInd/>
        <w:snapToGrid/>
        <w:spacing w:before="157" w:beforeLines="50" w:line="5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本年度报告依据《中华人民共和国政府信息公开条例》《中华人民共和国政府信息公开工作年度报告格式》和省、市政务公开工作要求，发布本年度报告，年报中所列数据的统计期限为2024年1月1日至12月31日。如对本年报有任何疑问，请与沙河市公安局办公室联系，联系电话：</w:t>
      </w:r>
      <w:r>
        <w:rPr>
          <w:rFonts w:hint="eastAsia" w:ascii="仿宋" w:hAnsi="仿宋" w:eastAsia="仿宋" w:cs="仿宋"/>
          <w:color w:val="auto"/>
          <w:sz w:val="32"/>
          <w:szCs w:val="32"/>
          <w:lang w:val="en-US" w:eastAsia="zh-CN"/>
        </w:rPr>
        <w:t>0319-</w:t>
      </w:r>
      <w:r>
        <w:rPr>
          <w:rFonts w:hint="eastAsia" w:ascii="仿宋" w:hAnsi="仿宋" w:eastAsia="仿宋" w:cs="仿宋"/>
          <w:color w:val="auto"/>
          <w:sz w:val="32"/>
          <w:szCs w:val="32"/>
        </w:rPr>
        <w:t>8625824</w:t>
      </w:r>
      <w:r>
        <w:rPr>
          <w:rFonts w:hint="eastAsia" w:ascii="仿宋" w:hAnsi="仿宋" w:eastAsia="仿宋" w:cs="仿宋"/>
          <w:color w:val="auto"/>
          <w:sz w:val="32"/>
          <w:szCs w:val="32"/>
          <w:lang w:eastAsia="zh-CN"/>
        </w:rPr>
        <w:t>。</w:t>
      </w:r>
    </w:p>
    <w:p w14:paraId="52A4F2DD">
      <w:pPr>
        <w:pStyle w:val="5"/>
        <w:keepNext w:val="0"/>
        <w:keepLines w:val="0"/>
        <w:pageBreakBefore w:val="0"/>
        <w:widowControl/>
        <w:kinsoku/>
        <w:wordWrap/>
        <w:overflowPunct/>
        <w:topLinePunct w:val="0"/>
        <w:autoSpaceDE/>
        <w:autoSpaceDN/>
        <w:bidi w:val="0"/>
        <w:adjustRightInd/>
        <w:snapToGrid/>
        <w:spacing w:before="157" w:beforeLines="50" w:beforeAutospacing="0" w:afterAutospacing="0" w:line="50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一、总体情况</w:t>
      </w:r>
    </w:p>
    <w:p w14:paraId="2F81CED3">
      <w:pPr>
        <w:keepNext w:val="0"/>
        <w:keepLines w:val="0"/>
        <w:pageBreakBefore w:val="0"/>
        <w:kinsoku/>
        <w:wordWrap/>
        <w:overflowPunct/>
        <w:topLinePunct w:val="0"/>
        <w:autoSpaceDE/>
        <w:autoSpaceDN/>
        <w:bidi w:val="0"/>
        <w:adjustRightInd/>
        <w:snapToGrid/>
        <w:spacing w:before="157" w:beforeLines="50"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2024年，沙河市公安局坚持以习近平新时代中国特色社会主义思想为指导，深入学习贯彻习近平法治思想，认真落实市委、市政府及上级政法机关系列部署，全力防风险、保安全、护稳定、促发展，为打赢经济发展整体战创造了安全稳定的社会治安环境。在政务公开工作方面，严格按照上级政务公开工作重点任务及责任分工方案等</w:t>
      </w:r>
      <w:bookmarkStart w:id="0" w:name="_GoBack"/>
      <w:r>
        <w:rPr>
          <w:rFonts w:hint="eastAsia" w:ascii="仿宋" w:hAnsi="仿宋" w:eastAsia="仿宋" w:cs="仿宋"/>
          <w:color w:val="auto"/>
          <w:sz w:val="32"/>
          <w:szCs w:val="32"/>
          <w:lang w:val="en-US" w:eastAsia="zh-CN"/>
        </w:rPr>
        <w:t>一系列</w:t>
      </w:r>
      <w:bookmarkEnd w:id="0"/>
      <w:r>
        <w:rPr>
          <w:rFonts w:hint="eastAsia" w:ascii="仿宋" w:hAnsi="仿宋" w:eastAsia="仿宋" w:cs="仿宋"/>
          <w:color w:val="auto"/>
          <w:sz w:val="32"/>
          <w:szCs w:val="32"/>
        </w:rPr>
        <w:t>文件要求，落实公开为</w:t>
      </w:r>
      <w:r>
        <w:rPr>
          <w:rFonts w:hint="eastAsia" w:ascii="仿宋" w:hAnsi="仿宋" w:eastAsia="仿宋" w:cs="仿宋"/>
          <w:color w:val="auto"/>
          <w:sz w:val="32"/>
          <w:szCs w:val="32"/>
          <w:lang w:val="en-US" w:eastAsia="zh-CN"/>
        </w:rPr>
        <w:t>常态</w:t>
      </w:r>
      <w:r>
        <w:rPr>
          <w:rFonts w:hint="eastAsia" w:ascii="仿宋" w:hAnsi="仿宋" w:eastAsia="仿宋" w:cs="仿宋"/>
          <w:color w:val="auto"/>
          <w:sz w:val="32"/>
          <w:szCs w:val="32"/>
        </w:rPr>
        <w:t>、不公开为例外的要求，以群众满意为标准，以网上网下联动为载体，充分运用公安信息化建设成果，突出重点，主动作为，进一步提升政务公开工作实效。</w:t>
      </w:r>
    </w:p>
    <w:p w14:paraId="09345251">
      <w:pPr>
        <w:keepNext w:val="0"/>
        <w:keepLines w:val="0"/>
        <w:pageBreakBefore w:val="0"/>
        <w:kinsoku/>
        <w:wordWrap/>
        <w:overflowPunct/>
        <w:topLinePunct w:val="0"/>
        <w:autoSpaceDE/>
        <w:autoSpaceDN/>
        <w:bidi w:val="0"/>
        <w:adjustRightInd/>
        <w:snapToGrid/>
        <w:spacing w:before="157" w:beforeLines="50"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主动公开方面。2024年，沙河市公安局全面实行行政执法公示制度，对违法人员进行处罚后，准确、及时地在阳光警务平台公开行政执法信息；做好预决算公开工作，今年在我市政府门户网站设立的预决算公开栏目公开我局预决算共计2次；办理完成本年度政协提案的复文5篇，已全部按要求在政府网站公开；按照国办公开办要求的统一格式发布了信息公开工作年报；信息公开文件均按要求移交；规范开设政务微博、微信公众号等政务新媒体，“沙河公安”官方微信发布警方动态、警方公告、防电诈、警方提醒等各类信息130余条，“沙河公安网络发言人”官方微博共计发布信息260余条，“沙河公安”官方抖音发布视频50条；“沙河交警”官方微信公众号发布信息94条，抖音、快手发布信息52条。</w:t>
      </w:r>
    </w:p>
    <w:p w14:paraId="0A248949">
      <w:pPr>
        <w:keepNext w:val="0"/>
        <w:keepLines w:val="0"/>
        <w:pageBreakBefore w:val="0"/>
        <w:kinsoku/>
        <w:wordWrap/>
        <w:overflowPunct/>
        <w:topLinePunct w:val="0"/>
        <w:autoSpaceDE/>
        <w:autoSpaceDN/>
        <w:bidi w:val="0"/>
        <w:adjustRightInd/>
        <w:snapToGrid/>
        <w:spacing w:before="157" w:beforeLines="50"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（二）依申请公开方面。2024年，开设网络、信函、当面申请等渠道，保证各依申请公开渠道畅通；今年我局收到依申请公开2次，已按程序答复。</w:t>
      </w:r>
    </w:p>
    <w:p w14:paraId="65987710">
      <w:pPr>
        <w:keepNext w:val="0"/>
        <w:keepLines w:val="0"/>
        <w:pageBreakBefore w:val="0"/>
        <w:kinsoku/>
        <w:wordWrap/>
        <w:overflowPunct/>
        <w:topLinePunct w:val="0"/>
        <w:autoSpaceDE/>
        <w:autoSpaceDN/>
        <w:bidi w:val="0"/>
        <w:adjustRightInd/>
        <w:snapToGrid/>
        <w:spacing w:before="157" w:beforeLines="50"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（三）政府信息管理方面。我局所发政策性文件均为上级公安机关指定参照施行。</w:t>
      </w:r>
    </w:p>
    <w:p w14:paraId="636BB372">
      <w:pPr>
        <w:keepNext w:val="0"/>
        <w:keepLines w:val="0"/>
        <w:pageBreakBefore w:val="0"/>
        <w:kinsoku/>
        <w:wordWrap/>
        <w:overflowPunct/>
        <w:topLinePunct w:val="0"/>
        <w:autoSpaceDE/>
        <w:autoSpaceDN/>
        <w:bidi w:val="0"/>
        <w:adjustRightInd/>
        <w:snapToGrid/>
        <w:spacing w:before="157" w:beforeLines="50"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（四）政府信息公开平台建设。我局未建设独立的门户网站，日常在沙河市人民政府网站“部门工作”栏目公布信息，发布信息内容包括警情警讯、会议召开、公示公告等。</w:t>
      </w:r>
    </w:p>
    <w:p w14:paraId="1D4B85FA">
      <w:pPr>
        <w:keepNext w:val="0"/>
        <w:keepLines w:val="0"/>
        <w:pageBreakBefore w:val="0"/>
        <w:kinsoku/>
        <w:wordWrap/>
        <w:overflowPunct/>
        <w:topLinePunct w:val="0"/>
        <w:autoSpaceDE/>
        <w:autoSpaceDN/>
        <w:bidi w:val="0"/>
        <w:adjustRightInd/>
        <w:snapToGrid/>
        <w:spacing w:before="157" w:beforeLines="50" w:line="50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强化监督保障方面。将国家、省、市年度政务公开工作要点逐项细化分解，明确责任分工，加强督导落实。开展政府信息公开业务专题培训，组织民警参加政府信息公开法律知识问答，着力提升政务公开业务能力和水平。</w:t>
      </w:r>
    </w:p>
    <w:p w14:paraId="628E99E1">
      <w:pPr>
        <w:pStyle w:val="5"/>
        <w:keepNext w:val="0"/>
        <w:keepLines w:val="0"/>
        <w:pageBreakBefore w:val="0"/>
        <w:widowControl/>
        <w:kinsoku/>
        <w:wordWrap/>
        <w:overflowPunct/>
        <w:topLinePunct w:val="0"/>
        <w:autoSpaceDE/>
        <w:autoSpaceDN/>
        <w:bidi w:val="0"/>
        <w:adjustRightInd/>
        <w:snapToGrid/>
        <w:spacing w:before="157" w:beforeLines="50" w:beforeAutospacing="0" w:afterAutospacing="0" w:line="500" w:lineRule="exact"/>
        <w:ind w:firstLine="640" w:firstLineChars="200"/>
        <w:jc w:val="both"/>
        <w:textAlignment w:val="auto"/>
        <w:rPr>
          <w:rFonts w:ascii="宋体" w:hAnsi="宋体" w:eastAsia="宋体" w:cs="宋体"/>
        </w:rPr>
      </w:pPr>
      <w:r>
        <w:rPr>
          <w:rFonts w:hint="eastAsia" w:ascii="黑体" w:hAnsi="黑体" w:eastAsia="黑体" w:cs="黑体"/>
          <w:b w:val="0"/>
          <w:bCs w:val="0"/>
          <w:color w:val="333333"/>
          <w:sz w:val="32"/>
          <w:szCs w:val="32"/>
        </w:rPr>
        <w:t>二、主动公开政府信息情况</w:t>
      </w:r>
    </w:p>
    <w:tbl>
      <w:tblPr>
        <w:tblStyle w:val="6"/>
        <w:tblW w:w="9740" w:type="dxa"/>
        <w:jc w:val="center"/>
        <w:tblLayout w:type="autofit"/>
        <w:tblCellMar>
          <w:top w:w="0" w:type="dxa"/>
          <w:left w:w="0" w:type="dxa"/>
          <w:bottom w:w="0" w:type="dxa"/>
          <w:right w:w="0" w:type="dxa"/>
        </w:tblCellMar>
      </w:tblPr>
      <w:tblGrid>
        <w:gridCol w:w="2435"/>
        <w:gridCol w:w="2435"/>
        <w:gridCol w:w="2435"/>
        <w:gridCol w:w="2435"/>
      </w:tblGrid>
      <w:tr w14:paraId="7995E846">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5008F30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rPr>
            </w:pPr>
            <w:r>
              <w:rPr>
                <w:rFonts w:hint="eastAsia" w:ascii="宋体" w:hAnsi="宋体" w:eastAsia="宋体" w:cs="宋体"/>
                <w:color w:val="000000"/>
                <w:kern w:val="0"/>
                <w:sz w:val="20"/>
                <w:szCs w:val="20"/>
              </w:rPr>
              <w:t>第二十条第（一）项</w:t>
            </w:r>
          </w:p>
        </w:tc>
      </w:tr>
      <w:tr w14:paraId="4F712349">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4EA59A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060FCE9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rPr>
            </w:pPr>
            <w:r>
              <w:rPr>
                <w:rFonts w:hint="eastAsia" w:ascii="宋体" w:hAnsi="宋体" w:eastAsia="宋体" w:cs="宋体"/>
                <w:color w:val="000000"/>
                <w:kern w:val="0"/>
                <w:sz w:val="20"/>
                <w:szCs w:val="20"/>
              </w:rPr>
              <w:t>本年</w:t>
            </w:r>
            <w:r>
              <w:rPr>
                <w:rFonts w:hint="eastAsia" w:ascii="宋体" w:hAnsi="宋体" w:eastAsia="宋体" w:cs="宋体"/>
                <w:kern w:val="0"/>
                <w:sz w:val="20"/>
                <w:szCs w:val="20"/>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173F386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0A416E1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rPr>
            </w:pPr>
            <w:r>
              <w:rPr>
                <w:rFonts w:hint="eastAsia" w:ascii="宋体" w:hAnsi="宋体" w:eastAsia="宋体" w:cs="宋体"/>
                <w:color w:val="000000"/>
                <w:kern w:val="0"/>
                <w:sz w:val="20"/>
                <w:szCs w:val="20"/>
              </w:rPr>
              <w:t>现行有效件</w:t>
            </w:r>
            <w:r>
              <w:rPr>
                <w:rFonts w:hint="eastAsia" w:ascii="宋体" w:hAnsi="宋体" w:eastAsia="宋体" w:cs="宋体"/>
                <w:kern w:val="0"/>
                <w:sz w:val="20"/>
                <w:szCs w:val="20"/>
              </w:rPr>
              <w:t>数</w:t>
            </w:r>
          </w:p>
        </w:tc>
      </w:tr>
      <w:tr w14:paraId="217230BF">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6323F0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1E3430A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rPr>
            </w:pPr>
            <w:r>
              <w:rPr>
                <w:rFonts w:hint="eastAsia" w:ascii="宋体" w:hAnsi="宋体" w:eastAsia="宋体" w:cs="宋体"/>
                <w:color w:val="000000"/>
                <w:kern w:val="0"/>
                <w:sz w:val="20"/>
                <w:szCs w:val="20"/>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6ED0CDE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rPr>
            </w:pPr>
            <w:r>
              <w:rPr>
                <w:rFonts w:hint="eastAsia" w:ascii="宋体" w:hAnsi="宋体" w:eastAsia="宋体" w:cs="宋体"/>
                <w:color w:val="000000"/>
                <w:kern w:val="0"/>
                <w:sz w:val="20"/>
                <w:szCs w:val="20"/>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0643BC0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rPr>
            </w:pPr>
            <w:r>
              <w:rPr>
                <w:rFonts w:ascii="Calibri" w:hAnsi="Calibri" w:cs="Calibri"/>
                <w:kern w:val="0"/>
                <w:szCs w:val="21"/>
              </w:rPr>
              <w:t> </w:t>
            </w:r>
            <w:r>
              <w:rPr>
                <w:rFonts w:hint="eastAsia" w:ascii="Calibri" w:hAnsi="Calibri" w:cs="Calibri"/>
                <w:kern w:val="0"/>
                <w:szCs w:val="21"/>
              </w:rPr>
              <w:t>0</w:t>
            </w:r>
          </w:p>
        </w:tc>
      </w:tr>
      <w:tr w14:paraId="08D4B76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BF3BDF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09C85D2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rPr>
            </w:pPr>
            <w:r>
              <w:rPr>
                <w:rFonts w:hint="eastAsia" w:ascii="宋体" w:hAnsi="宋体" w:eastAsia="宋体" w:cs="宋体"/>
                <w:color w:val="000000"/>
                <w:kern w:val="0"/>
                <w:sz w:val="20"/>
                <w:szCs w:val="20"/>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26E5326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rPr>
            </w:pPr>
            <w:r>
              <w:rPr>
                <w:rFonts w:hint="eastAsia" w:ascii="宋体" w:hAnsi="宋体" w:eastAsia="宋体" w:cs="宋体"/>
                <w:color w:val="000000"/>
                <w:kern w:val="0"/>
                <w:sz w:val="20"/>
                <w:szCs w:val="20"/>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505A802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rPr>
            </w:pPr>
            <w:r>
              <w:rPr>
                <w:rFonts w:ascii="Calibri" w:hAnsi="Calibri" w:cs="Calibri"/>
                <w:kern w:val="0"/>
                <w:szCs w:val="21"/>
              </w:rPr>
              <w:t> </w:t>
            </w:r>
            <w:r>
              <w:rPr>
                <w:rFonts w:hint="eastAsia" w:ascii="Calibri" w:hAnsi="Calibri" w:cs="Calibri"/>
                <w:kern w:val="0"/>
                <w:szCs w:val="21"/>
              </w:rPr>
              <w:t>0</w:t>
            </w:r>
          </w:p>
        </w:tc>
      </w:tr>
      <w:tr w14:paraId="456ACBEA">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6D42FC3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rPr>
            </w:pPr>
            <w:r>
              <w:rPr>
                <w:rFonts w:hint="eastAsia" w:ascii="宋体" w:hAnsi="宋体" w:eastAsia="宋体" w:cs="宋体"/>
                <w:color w:val="000000"/>
                <w:kern w:val="0"/>
                <w:sz w:val="20"/>
                <w:szCs w:val="20"/>
              </w:rPr>
              <w:t>第二十条第（五）项</w:t>
            </w:r>
          </w:p>
        </w:tc>
      </w:tr>
      <w:tr w14:paraId="6780A5AC">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CA7136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1C02F8C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rPr>
            </w:pPr>
            <w:r>
              <w:rPr>
                <w:rFonts w:hint="eastAsia" w:ascii="宋体" w:hAnsi="宋体" w:eastAsia="宋体" w:cs="宋体"/>
                <w:color w:val="000000"/>
                <w:kern w:val="0"/>
                <w:sz w:val="20"/>
                <w:szCs w:val="20"/>
              </w:rPr>
              <w:t>本年处理决定数量</w:t>
            </w:r>
          </w:p>
        </w:tc>
      </w:tr>
      <w:tr w14:paraId="54D2C46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FE224B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color w:val="000000" w:themeColor="text1"/>
              </w:rPr>
            </w:pPr>
            <w:r>
              <w:rPr>
                <w:rFonts w:hint="eastAsia" w:ascii="宋体" w:hAnsi="宋体" w:eastAsia="宋体" w:cs="宋体"/>
                <w:color w:val="000000" w:themeColor="text1"/>
                <w:kern w:val="0"/>
                <w:sz w:val="20"/>
                <w:szCs w:val="20"/>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50DBEE2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color w:val="000000" w:themeColor="text1"/>
              </w:rPr>
            </w:pPr>
            <w:r>
              <w:rPr>
                <w:rFonts w:hint="eastAsia" w:ascii="Calibri" w:hAnsi="Calibri" w:cs="Calibri"/>
                <w:color w:val="000000" w:themeColor="text1"/>
                <w:kern w:val="0"/>
                <w:szCs w:val="21"/>
              </w:rPr>
              <w:t>17462</w:t>
            </w:r>
          </w:p>
        </w:tc>
      </w:tr>
      <w:tr w14:paraId="62124BD3">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12532A8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rPr>
            </w:pPr>
            <w:r>
              <w:rPr>
                <w:rFonts w:hint="eastAsia" w:ascii="宋体" w:hAnsi="宋体" w:eastAsia="宋体" w:cs="宋体"/>
                <w:color w:val="000000"/>
                <w:kern w:val="0"/>
                <w:sz w:val="20"/>
                <w:szCs w:val="20"/>
              </w:rPr>
              <w:t>第二十条第（六）项</w:t>
            </w:r>
          </w:p>
        </w:tc>
      </w:tr>
      <w:tr w14:paraId="59F2D1B6">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15E377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406F4DB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rPr>
            </w:pPr>
            <w:r>
              <w:rPr>
                <w:rFonts w:hint="eastAsia" w:ascii="宋体" w:hAnsi="宋体" w:eastAsia="宋体" w:cs="宋体"/>
                <w:color w:val="000000"/>
                <w:kern w:val="0"/>
                <w:sz w:val="20"/>
                <w:szCs w:val="20"/>
              </w:rPr>
              <w:t>本年处理决定数量</w:t>
            </w:r>
          </w:p>
        </w:tc>
      </w:tr>
      <w:tr w14:paraId="2405CC96">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8BB562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color w:val="000000" w:themeColor="text1"/>
              </w:rPr>
            </w:pPr>
            <w:r>
              <w:rPr>
                <w:rFonts w:hint="eastAsia" w:ascii="宋体" w:hAnsi="宋体" w:eastAsia="宋体" w:cs="宋体"/>
                <w:color w:val="000000" w:themeColor="text1"/>
                <w:kern w:val="0"/>
                <w:sz w:val="20"/>
                <w:szCs w:val="20"/>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6865D37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color w:val="000000" w:themeColor="text1"/>
              </w:rPr>
            </w:pPr>
            <w:r>
              <w:rPr>
                <w:rFonts w:hint="eastAsia"/>
                <w:color w:val="000000" w:themeColor="text1"/>
              </w:rPr>
              <w:t>2708</w:t>
            </w:r>
          </w:p>
        </w:tc>
      </w:tr>
      <w:tr w14:paraId="5AE2F36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66B2A4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73215C1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rPr>
            </w:pPr>
            <w:r>
              <w:rPr>
                <w:rFonts w:hint="eastAsia" w:ascii="宋体" w:hAnsi="宋体" w:eastAsia="宋体" w:cs="宋体"/>
                <w:color w:val="000000"/>
                <w:kern w:val="0"/>
                <w:sz w:val="20"/>
                <w:szCs w:val="20"/>
              </w:rPr>
              <w:t>2120</w:t>
            </w:r>
          </w:p>
        </w:tc>
      </w:tr>
      <w:tr w14:paraId="5926A4F0">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56387A8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rPr>
            </w:pPr>
            <w:r>
              <w:rPr>
                <w:rFonts w:hint="eastAsia" w:ascii="宋体" w:hAnsi="宋体" w:eastAsia="宋体" w:cs="宋体"/>
                <w:color w:val="000000"/>
                <w:kern w:val="0"/>
                <w:sz w:val="20"/>
                <w:szCs w:val="20"/>
              </w:rPr>
              <w:t>第二十条第（八）项</w:t>
            </w:r>
          </w:p>
        </w:tc>
      </w:tr>
      <w:tr w14:paraId="59D6946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825E53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0CB6E3B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rPr>
            </w:pPr>
            <w:r>
              <w:rPr>
                <w:rFonts w:hint="eastAsia" w:ascii="宋体" w:hAnsi="宋体" w:eastAsia="宋体" w:cs="宋体"/>
                <w:color w:val="000000"/>
                <w:kern w:val="0"/>
                <w:sz w:val="20"/>
                <w:szCs w:val="20"/>
              </w:rPr>
              <w:t>本年收费金额（单位：万元）</w:t>
            </w:r>
          </w:p>
        </w:tc>
      </w:tr>
      <w:tr w14:paraId="65A158F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11F29D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651E77EE">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sz w:val="24"/>
              </w:rPr>
            </w:pPr>
            <w:r>
              <w:rPr>
                <w:rFonts w:hint="eastAsia" w:ascii="宋体"/>
                <w:sz w:val="24"/>
              </w:rPr>
              <w:t>49.06425万元</w:t>
            </w:r>
          </w:p>
        </w:tc>
      </w:tr>
    </w:tbl>
    <w:p w14:paraId="38658F6F">
      <w:pPr>
        <w:pStyle w:val="5"/>
        <w:widowControl/>
        <w:spacing w:beforeAutospacing="0" w:afterAutospacing="0" w:line="432" w:lineRule="atLeast"/>
        <w:ind w:firstLine="640" w:firstLineChars="200"/>
        <w:jc w:val="both"/>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三、收到和处理政府信息公开申请情况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14:paraId="7919C5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6635DE3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rPr>
            </w:pPr>
            <w:r>
              <w:rPr>
                <w:rFonts w:hint="eastAsia" w:ascii="楷体" w:hAnsi="楷体" w:eastAsia="楷体" w:cs="楷体"/>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13D1D67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宋体" w:hAnsi="宋体" w:eastAsia="宋体" w:cs="宋体"/>
                <w:kern w:val="0"/>
                <w:sz w:val="20"/>
                <w:szCs w:val="20"/>
              </w:rPr>
              <w:t>申请人情况</w:t>
            </w:r>
          </w:p>
        </w:tc>
      </w:tr>
      <w:tr w14:paraId="02399A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1D0E930D">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sz w:val="24"/>
              </w:rPr>
            </w:pPr>
          </w:p>
        </w:tc>
        <w:tc>
          <w:tcPr>
            <w:tcW w:w="688"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14:paraId="295AD23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宋体" w:hAnsi="宋体" w:eastAsia="宋体" w:cs="宋体"/>
                <w:kern w:val="0"/>
                <w:sz w:val="20"/>
                <w:szCs w:val="20"/>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FC72A9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宋体" w:hAnsi="宋体" w:eastAsia="宋体" w:cs="宋体"/>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14:paraId="74064B7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宋体" w:hAnsi="宋体" w:eastAsia="宋体" w:cs="宋体"/>
                <w:kern w:val="0"/>
                <w:sz w:val="20"/>
                <w:szCs w:val="20"/>
              </w:rPr>
              <w:t>总计</w:t>
            </w:r>
          </w:p>
        </w:tc>
      </w:tr>
      <w:tr w14:paraId="0C7FA2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32C23A3A">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sz w:val="24"/>
              </w:rPr>
            </w:pPr>
          </w:p>
        </w:tc>
        <w:tc>
          <w:tcPr>
            <w:tcW w:w="688"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6EC6DAF9">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sz w:val="24"/>
              </w:rPr>
            </w:pP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14:paraId="155C617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宋体" w:hAnsi="宋体" w:eastAsia="宋体" w:cs="宋体"/>
                <w:kern w:val="0"/>
                <w:sz w:val="20"/>
                <w:szCs w:val="20"/>
              </w:rPr>
              <w:t>商业</w:t>
            </w:r>
          </w:p>
          <w:p w14:paraId="200552C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宋体" w:hAnsi="宋体" w:eastAsia="宋体" w:cs="宋体"/>
                <w:kern w:val="0"/>
                <w:sz w:val="20"/>
                <w:szCs w:val="20"/>
              </w:rPr>
              <w:t>企业</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14:paraId="1387860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宋体" w:hAnsi="宋体" w:eastAsia="宋体" w:cs="宋体"/>
                <w:kern w:val="0"/>
                <w:sz w:val="20"/>
                <w:szCs w:val="20"/>
              </w:rPr>
              <w:t>科研</w:t>
            </w:r>
          </w:p>
          <w:p w14:paraId="11406A5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宋体" w:hAnsi="宋体" w:eastAsia="宋体" w:cs="宋体"/>
                <w:kern w:val="0"/>
                <w:sz w:val="20"/>
                <w:szCs w:val="20"/>
              </w:rPr>
              <w:t>机构</w:t>
            </w:r>
          </w:p>
        </w:tc>
        <w:tc>
          <w:tcPr>
            <w:tcW w:w="68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EC7A64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宋体" w:hAnsi="宋体" w:eastAsia="宋体" w:cs="宋体"/>
                <w:kern w:val="0"/>
                <w:sz w:val="20"/>
                <w:szCs w:val="20"/>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0FA7E8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宋体" w:hAnsi="宋体" w:eastAsia="宋体" w:cs="宋体"/>
                <w:kern w:val="0"/>
                <w:sz w:val="20"/>
                <w:szCs w:val="20"/>
              </w:rPr>
              <w:t>法律服务机构</w:t>
            </w:r>
          </w:p>
        </w:tc>
        <w:tc>
          <w:tcPr>
            <w:tcW w:w="68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25FD28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宋体" w:hAnsi="宋体" w:eastAsia="宋体" w:cs="宋体"/>
                <w:kern w:val="0"/>
                <w:sz w:val="20"/>
                <w:szCs w:val="20"/>
              </w:rPr>
              <w:t>其他</w:t>
            </w:r>
          </w:p>
        </w:tc>
        <w:tc>
          <w:tcPr>
            <w:tcW w:w="688" w:type="dxa"/>
            <w:vMerge w:val="continue"/>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14:paraId="4B9A4905">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sz w:val="24"/>
              </w:rPr>
            </w:pPr>
          </w:p>
        </w:tc>
      </w:tr>
      <w:tr w14:paraId="0816E9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6751F0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rPr>
            </w:pPr>
            <w:r>
              <w:rPr>
                <w:rFonts w:hint="eastAsia" w:ascii="宋体" w:hAnsi="宋体" w:eastAsia="宋体" w:cs="宋体"/>
                <w:kern w:val="0"/>
                <w:sz w:val="20"/>
                <w:szCs w:val="20"/>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47B4A1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2</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08FA2D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6AD99F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D1F38C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C2EE0E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7004EA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BA76AD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2</w:t>
            </w:r>
          </w:p>
        </w:tc>
      </w:tr>
      <w:tr w14:paraId="74E8BE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EEF1F0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rPr>
            </w:pPr>
            <w:r>
              <w:rPr>
                <w:rFonts w:hint="eastAsia" w:ascii="宋体" w:hAnsi="宋体" w:eastAsia="宋体" w:cs="宋体"/>
                <w:kern w:val="0"/>
                <w:sz w:val="20"/>
                <w:szCs w:val="20"/>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5E17CA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FFEF39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1299F0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1EBA2B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22D708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6122B4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B4417D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p>
        </w:tc>
      </w:tr>
      <w:tr w14:paraId="2B0A98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517004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rPr>
            </w:pPr>
            <w:r>
              <w:rPr>
                <w:rFonts w:hint="eastAsia" w:ascii="宋体" w:hAnsi="宋体" w:eastAsia="宋体" w:cs="宋体"/>
                <w:kern w:val="0"/>
                <w:sz w:val="20"/>
                <w:szCs w:val="20"/>
              </w:rPr>
              <w:t>三、本年度办理结果</w:t>
            </w: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70346FE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rPr>
            </w:pPr>
            <w:r>
              <w:rPr>
                <w:rFonts w:hint="eastAsia" w:ascii="宋体" w:hAnsi="宋体" w:eastAsia="宋体" w:cs="宋体"/>
                <w:kern w:val="0"/>
                <w:sz w:val="20"/>
                <w:szCs w:val="20"/>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F1C3B5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30EBAA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181E11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941E54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1FC231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E004CE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6CD3E44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p>
        </w:tc>
      </w:tr>
      <w:tr w14:paraId="296D52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529E5A0">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sz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50ADBEB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rPr>
            </w:pPr>
            <w:r>
              <w:rPr>
                <w:rFonts w:hint="eastAsia" w:ascii="宋体" w:hAnsi="宋体" w:eastAsia="宋体" w:cs="宋体"/>
                <w:kern w:val="0"/>
                <w:sz w:val="20"/>
                <w:szCs w:val="20"/>
              </w:rPr>
              <w:t>（二）部分公开</w:t>
            </w:r>
            <w:r>
              <w:rPr>
                <w:rFonts w:hint="eastAsia" w:ascii="楷体" w:hAnsi="楷体" w:eastAsia="楷体" w:cs="楷体"/>
                <w:kern w:val="0"/>
                <w:sz w:val="20"/>
                <w:szCs w:val="20"/>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BF1AA9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D0C6FE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50E2BE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29F59F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F066B9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6FBD21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972CAD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Calibri" w:hAnsi="Calibri" w:cs="Calibri"/>
                <w:kern w:val="0"/>
                <w:sz w:val="20"/>
                <w:szCs w:val="20"/>
              </w:rPr>
            </w:pPr>
            <w:r>
              <w:rPr>
                <w:rFonts w:hint="eastAsia" w:ascii="Calibri" w:hAnsi="Calibri" w:cs="Calibri"/>
                <w:kern w:val="0"/>
                <w:sz w:val="20"/>
                <w:szCs w:val="20"/>
              </w:rPr>
              <w:t>0</w:t>
            </w:r>
          </w:p>
        </w:tc>
      </w:tr>
      <w:tr w14:paraId="1E1788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AB26D9C">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sz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062E7F7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rPr>
            </w:pPr>
            <w:r>
              <w:rPr>
                <w:rFonts w:hint="eastAsia" w:ascii="宋体" w:hAnsi="宋体" w:eastAsia="宋体" w:cs="宋体"/>
                <w:kern w:val="0"/>
                <w:sz w:val="20"/>
                <w:szCs w:val="20"/>
              </w:rPr>
              <w:t>（三）不予公开</w:t>
            </w: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385D031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rPr>
            </w:pPr>
            <w:r>
              <w:rPr>
                <w:rFonts w:hint="eastAsia" w:ascii="宋体" w:hAnsi="宋体" w:eastAsia="宋体" w:cs="宋体"/>
                <w:kern w:val="0"/>
                <w:sz w:val="20"/>
                <w:szCs w:val="20"/>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3827846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64FDB33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460B412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7B2E512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2313E1E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19456D9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2173677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p>
        </w:tc>
      </w:tr>
      <w:tr w14:paraId="78E8BF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202846A">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0CADA491">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13DF07F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rPr>
            </w:pPr>
            <w:r>
              <w:rPr>
                <w:rFonts w:hint="eastAsia" w:ascii="宋体" w:hAnsi="宋体" w:eastAsia="宋体" w:cs="宋体"/>
                <w:kern w:val="0"/>
                <w:sz w:val="20"/>
                <w:szCs w:val="20"/>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04DDA9E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67AA6CD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1749C12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3F186E3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0C8CA7C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62DAFC8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AAC986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p>
        </w:tc>
      </w:tr>
      <w:tr w14:paraId="10361D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9E821CC">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5E35680">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4F93BC3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rPr>
            </w:pPr>
            <w:r>
              <w:rPr>
                <w:rFonts w:hint="eastAsia" w:ascii="宋体" w:hAnsi="宋体" w:eastAsia="宋体" w:cs="宋体"/>
                <w:kern w:val="0"/>
                <w:sz w:val="20"/>
                <w:szCs w:val="20"/>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1612DBD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01E7E20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030A643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4BE5013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1E93E1D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77C3B37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281CDA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p>
        </w:tc>
      </w:tr>
      <w:tr w14:paraId="2F573D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AC771D5">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41DD8B47">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18A7EFC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rPr>
            </w:pPr>
            <w:r>
              <w:rPr>
                <w:rFonts w:hint="eastAsia" w:ascii="宋体" w:hAnsi="宋体" w:eastAsia="宋体" w:cs="宋体"/>
                <w:kern w:val="0"/>
                <w:sz w:val="20"/>
                <w:szCs w:val="20"/>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47DA12E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64DD100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2A60791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1404AA1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57390FF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02E7DA0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31A9E9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p>
        </w:tc>
      </w:tr>
      <w:tr w14:paraId="2ABD84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C636BDF">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638ED11E">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4817D2C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rPr>
            </w:pPr>
            <w:r>
              <w:rPr>
                <w:rFonts w:hint="eastAsia" w:ascii="宋体" w:hAnsi="宋体" w:eastAsia="宋体" w:cs="宋体"/>
                <w:kern w:val="0"/>
                <w:sz w:val="20"/>
                <w:szCs w:val="20"/>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276461E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457E842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240BAC6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42BEC4D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29CA0BD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573F9B6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256435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p>
        </w:tc>
      </w:tr>
      <w:tr w14:paraId="74AA99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0B6DC43">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48040CB">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656AC71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rPr>
            </w:pPr>
            <w:r>
              <w:rPr>
                <w:rFonts w:hint="eastAsia" w:ascii="宋体" w:hAnsi="宋体" w:eastAsia="宋体" w:cs="宋体"/>
                <w:kern w:val="0"/>
                <w:sz w:val="20"/>
                <w:szCs w:val="20"/>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4FE4BB2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382ED9A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53C9F46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00F74A2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682B25A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7376E2C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FEC4D3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p>
        </w:tc>
      </w:tr>
      <w:tr w14:paraId="2E7BBA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3D22021">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40217D36">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085BA16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rPr>
            </w:pPr>
            <w:r>
              <w:rPr>
                <w:rFonts w:hint="eastAsia" w:ascii="宋体" w:hAnsi="宋体" w:eastAsia="宋体" w:cs="宋体"/>
                <w:kern w:val="0"/>
                <w:sz w:val="20"/>
                <w:szCs w:val="20"/>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30CAA1F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1C13CEB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119B9CD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3A864CB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42FAE35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0E38FD6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D313D9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p>
        </w:tc>
      </w:tr>
      <w:tr w14:paraId="59D88D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A926BE1">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150EB154">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1F2443B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rPr>
            </w:pPr>
            <w:r>
              <w:rPr>
                <w:rFonts w:hint="eastAsia" w:ascii="宋体" w:hAnsi="宋体" w:eastAsia="宋体" w:cs="宋体"/>
                <w:kern w:val="0"/>
                <w:sz w:val="20"/>
                <w:szCs w:val="20"/>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26F33BF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6386EC5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50975DB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4E99FA4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3A05FE8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703DB3D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ECC4A2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p>
        </w:tc>
      </w:tr>
      <w:tr w14:paraId="248819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B320184">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sz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7AE8438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rPr>
            </w:pPr>
            <w:r>
              <w:rPr>
                <w:rFonts w:hint="eastAsia" w:ascii="宋体" w:hAnsi="宋体" w:eastAsia="宋体" w:cs="宋体"/>
                <w:kern w:val="0"/>
                <w:sz w:val="20"/>
                <w:szCs w:val="20"/>
              </w:rPr>
              <w:t>（四）无法提供</w:t>
            </w: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1CE0CF2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rPr>
            </w:pPr>
            <w:r>
              <w:rPr>
                <w:rFonts w:hint="eastAsia" w:ascii="宋体" w:hAnsi="宋体" w:eastAsia="宋体" w:cs="宋体"/>
                <w:kern w:val="0"/>
                <w:sz w:val="20"/>
                <w:szCs w:val="20"/>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073E453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2</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6B2E41C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4BDFAE2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42879AD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7DD157D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26A37EF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63C275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2</w:t>
            </w:r>
          </w:p>
        </w:tc>
      </w:tr>
      <w:tr w14:paraId="16039F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70C5538">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021D8561">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61E515D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rPr>
            </w:pPr>
            <w:r>
              <w:rPr>
                <w:rFonts w:hint="eastAsia" w:ascii="宋体" w:hAnsi="宋体" w:eastAsia="宋体" w:cs="宋体"/>
                <w:kern w:val="0"/>
                <w:sz w:val="20"/>
                <w:szCs w:val="20"/>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34F6D45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6E7A7BD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63DB9E4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682F094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2CCC006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4C8F12D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0BA2F4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p>
        </w:tc>
      </w:tr>
      <w:tr w14:paraId="07C907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DC823A0">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4AD0D40A">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52F3FE2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rPr>
            </w:pPr>
            <w:r>
              <w:rPr>
                <w:rFonts w:hint="eastAsia" w:ascii="宋体" w:hAnsi="宋体" w:eastAsia="宋体" w:cs="宋体"/>
                <w:kern w:val="0"/>
                <w:sz w:val="20"/>
                <w:szCs w:val="20"/>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4869803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497517C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670F7E5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43D75C2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474DCE3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39E713F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9C3A82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p>
        </w:tc>
      </w:tr>
      <w:tr w14:paraId="4F8B0D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BF83D0A">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sz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14CEEA5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rPr>
            </w:pPr>
            <w:r>
              <w:rPr>
                <w:rFonts w:hint="eastAsia" w:ascii="宋体" w:hAnsi="宋体" w:eastAsia="宋体" w:cs="宋体"/>
                <w:kern w:val="0"/>
                <w:sz w:val="20"/>
                <w:szCs w:val="20"/>
              </w:rPr>
              <w:t>（五）不予处理</w:t>
            </w: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277C4D2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rPr>
            </w:pPr>
            <w:r>
              <w:rPr>
                <w:rFonts w:hint="eastAsia" w:ascii="宋体" w:hAnsi="宋体" w:eastAsia="宋体" w:cs="宋体"/>
                <w:kern w:val="0"/>
                <w:sz w:val="20"/>
                <w:szCs w:val="20"/>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01F32F0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3C54DEC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2C177F8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41FAEB9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4C41871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134D7A3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9D40B6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p>
        </w:tc>
      </w:tr>
      <w:tr w14:paraId="7F2407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857D9AF">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23EFEBF5">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2D64978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rPr>
            </w:pPr>
            <w:r>
              <w:rPr>
                <w:rFonts w:hint="eastAsia" w:ascii="宋体" w:hAnsi="宋体" w:eastAsia="宋体" w:cs="宋体"/>
                <w:kern w:val="0"/>
                <w:sz w:val="20"/>
                <w:szCs w:val="20"/>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04885A2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695CA7C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61E9C55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5A8018D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47FF887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7712A92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850B16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p>
        </w:tc>
      </w:tr>
      <w:tr w14:paraId="5C5EA7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3A60B0A">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46D11BEC">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59C208C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rPr>
            </w:pPr>
            <w:r>
              <w:rPr>
                <w:rFonts w:hint="eastAsia" w:ascii="宋体" w:hAnsi="宋体" w:eastAsia="宋体" w:cs="宋体"/>
                <w:kern w:val="0"/>
                <w:sz w:val="20"/>
                <w:szCs w:val="20"/>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3EC4964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69295CB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6CE519C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2E7F4FE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7C78537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6BD3517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DECD6C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p>
        </w:tc>
      </w:tr>
      <w:tr w14:paraId="2576A8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B069D24">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154F92C">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3F62FFE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rPr>
            </w:pPr>
            <w:r>
              <w:rPr>
                <w:rFonts w:hint="eastAsia" w:ascii="宋体" w:hAnsi="宋体" w:eastAsia="宋体" w:cs="宋体"/>
                <w:kern w:val="0"/>
                <w:sz w:val="20"/>
                <w:szCs w:val="20"/>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3C32BBD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1B9DD6E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55735B9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77F3100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3A6DEA7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14:paraId="46A985F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AB0797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p>
        </w:tc>
      </w:tr>
      <w:tr w14:paraId="2C64BA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3DE0BDD">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28D5B67">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sz w:val="24"/>
              </w:rPr>
            </w:pPr>
          </w:p>
        </w:tc>
        <w:tc>
          <w:tcPr>
            <w:tcW w:w="3220" w:type="dxa"/>
            <w:tcBorders>
              <w:top w:val="nil"/>
              <w:left w:val="nil"/>
              <w:bottom w:val="outset" w:color="auto" w:sz="8" w:space="0"/>
              <w:right w:val="single" w:color="auto" w:sz="8" w:space="0"/>
            </w:tcBorders>
            <w:shd w:val="clear" w:color="auto" w:fill="auto"/>
            <w:tcMar>
              <w:left w:w="57" w:type="dxa"/>
              <w:right w:w="57" w:type="dxa"/>
            </w:tcMar>
            <w:vAlign w:val="center"/>
          </w:tcPr>
          <w:p w14:paraId="63F92B3D">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rPr>
            </w:pPr>
            <w:r>
              <w:rPr>
                <w:rFonts w:hint="eastAsia" w:ascii="宋体" w:hAnsi="宋体" w:eastAsia="宋体" w:cs="宋体"/>
                <w:kern w:val="0"/>
                <w:sz w:val="20"/>
                <w:szCs w:val="20"/>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left w:w="57" w:type="dxa"/>
              <w:right w:w="57" w:type="dxa"/>
            </w:tcMar>
          </w:tcPr>
          <w:p w14:paraId="53F59B7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outset" w:color="auto" w:sz="8" w:space="0"/>
              <w:right w:val="single" w:color="auto" w:sz="8" w:space="0"/>
            </w:tcBorders>
            <w:shd w:val="clear" w:color="auto" w:fill="auto"/>
            <w:tcMar>
              <w:left w:w="57" w:type="dxa"/>
              <w:right w:w="57" w:type="dxa"/>
            </w:tcMar>
          </w:tcPr>
          <w:p w14:paraId="1062271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p>
        </w:tc>
        <w:tc>
          <w:tcPr>
            <w:tcW w:w="688" w:type="dxa"/>
            <w:tcBorders>
              <w:top w:val="nil"/>
              <w:left w:val="nil"/>
              <w:bottom w:val="outset" w:color="auto" w:sz="8" w:space="0"/>
              <w:right w:val="single" w:color="auto" w:sz="8" w:space="0"/>
            </w:tcBorders>
            <w:shd w:val="clear" w:color="auto" w:fill="auto"/>
            <w:tcMar>
              <w:left w:w="57" w:type="dxa"/>
              <w:right w:w="57" w:type="dxa"/>
            </w:tcMar>
          </w:tcPr>
          <w:p w14:paraId="607F4A3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outset" w:color="auto" w:sz="8" w:space="0"/>
              <w:right w:val="single" w:color="auto" w:sz="8" w:space="0"/>
            </w:tcBorders>
            <w:shd w:val="clear" w:color="auto" w:fill="auto"/>
            <w:tcMar>
              <w:left w:w="57" w:type="dxa"/>
              <w:right w:w="57" w:type="dxa"/>
            </w:tcMar>
          </w:tcPr>
          <w:p w14:paraId="622A4AE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outset" w:color="auto" w:sz="8" w:space="0"/>
              <w:right w:val="single" w:color="auto" w:sz="8" w:space="0"/>
            </w:tcBorders>
            <w:shd w:val="clear" w:color="auto" w:fill="auto"/>
            <w:tcMar>
              <w:left w:w="57" w:type="dxa"/>
              <w:right w:w="57" w:type="dxa"/>
            </w:tcMar>
          </w:tcPr>
          <w:p w14:paraId="2F501A4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outset" w:color="auto" w:sz="8" w:space="0"/>
              <w:right w:val="single" w:color="auto" w:sz="8" w:space="0"/>
            </w:tcBorders>
            <w:shd w:val="clear" w:color="auto" w:fill="auto"/>
            <w:tcMar>
              <w:left w:w="57" w:type="dxa"/>
              <w:right w:w="57" w:type="dxa"/>
            </w:tcMar>
          </w:tcPr>
          <w:p w14:paraId="37E11C5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5D370F6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p>
        </w:tc>
      </w:tr>
      <w:tr w14:paraId="2B16ED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7F69347">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sz w:val="24"/>
              </w:rPr>
            </w:pPr>
          </w:p>
        </w:tc>
        <w:tc>
          <w:tcPr>
            <w:tcW w:w="943"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13EB59D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rPr>
            </w:pPr>
            <w:r>
              <w:rPr>
                <w:rFonts w:hint="eastAsia" w:ascii="宋体" w:hAnsi="宋体" w:eastAsia="宋体" w:cs="宋体"/>
                <w:kern w:val="0"/>
                <w:sz w:val="20"/>
                <w:szCs w:val="20"/>
              </w:rPr>
              <w:t>（六）其他处理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14:paraId="7D4061F3">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rPr>
            </w:pPr>
            <w:r>
              <w:rPr>
                <w:rFonts w:hint="eastAsia" w:ascii="宋体" w:hAnsi="宋体" w:eastAsia="宋体" w:cs="宋体"/>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2D059E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6EA0AA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39CAAF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A8FC87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BF4E9E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7CDBA5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660006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p>
        </w:tc>
      </w:tr>
      <w:tr w14:paraId="4D7C3A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5307CDA">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1D7B9319">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14:paraId="3817CC1D">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rPr>
            </w:pPr>
            <w:r>
              <w:rPr>
                <w:rFonts w:hint="eastAsia" w:ascii="宋体" w:hAnsi="宋体" w:eastAsia="宋体" w:cs="宋体"/>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74177F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E855A9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9AF0F7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444BDE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9953C1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6FA9C2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FA581A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p>
        </w:tc>
      </w:tr>
      <w:tr w14:paraId="00E2BC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37FE1D6">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53AD5224">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14:paraId="3DABF76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rPr>
            </w:pPr>
            <w:r>
              <w:rPr>
                <w:rFonts w:hint="eastAsia" w:ascii="宋体" w:hAnsi="宋体" w:eastAsia="宋体" w:cs="宋体"/>
                <w:kern w:val="0"/>
                <w:sz w:val="20"/>
                <w:szCs w:val="20"/>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304126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744297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023407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E6A8D7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79A04D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C6971F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34D2EA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p>
        </w:tc>
      </w:tr>
      <w:tr w14:paraId="2FD909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1ED76BC">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sz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07610E9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rPr>
            </w:pPr>
            <w:r>
              <w:rPr>
                <w:rFonts w:hint="eastAsia" w:ascii="宋体" w:hAnsi="宋体" w:eastAsia="宋体" w:cs="宋体"/>
                <w:kern w:val="0"/>
                <w:sz w:val="20"/>
                <w:szCs w:val="20"/>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1665F7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2</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1779C1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7C7AFB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2B12EC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6AA9D3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BBCD0E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6E1735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hint="eastAsia" w:ascii="Calibri" w:hAnsi="Calibri" w:cs="Calibri"/>
                <w:kern w:val="0"/>
                <w:sz w:val="20"/>
                <w:szCs w:val="20"/>
              </w:rPr>
              <w:t>2</w:t>
            </w:r>
          </w:p>
        </w:tc>
      </w:tr>
      <w:tr w14:paraId="527492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DF6891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rPr>
            </w:pPr>
            <w:r>
              <w:rPr>
                <w:rFonts w:hint="eastAsia" w:ascii="宋体" w:hAnsi="宋体" w:eastAsia="宋体" w:cs="宋体"/>
                <w:kern w:val="0"/>
                <w:sz w:val="20"/>
                <w:szCs w:val="20"/>
              </w:rPr>
              <w:t>四、结转下年度继续办理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41B193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AC8DB1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D4EC94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2ED01D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F695BE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6ED637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rP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CF4ECE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sz w:val="24"/>
              </w:rPr>
            </w:pPr>
            <w:r>
              <w:rPr>
                <w:rFonts w:hint="eastAsia" w:ascii="Calibri" w:hAnsi="Calibri" w:cs="Calibri"/>
                <w:kern w:val="0"/>
                <w:sz w:val="20"/>
                <w:szCs w:val="20"/>
              </w:rPr>
              <w:t>0</w:t>
            </w:r>
          </w:p>
        </w:tc>
      </w:tr>
    </w:tbl>
    <w:p w14:paraId="79A07CAC">
      <w:pPr>
        <w:pStyle w:val="5"/>
        <w:widowControl/>
        <w:spacing w:beforeAutospacing="0" w:afterAutospacing="0" w:line="432" w:lineRule="atLeast"/>
        <w:ind w:firstLine="640" w:firstLineChars="200"/>
        <w:jc w:val="both"/>
        <w:rPr>
          <w:rFonts w:ascii="宋体" w:hAnsi="宋体" w:eastAsia="宋体" w:cs="宋体"/>
          <w:color w:val="333333"/>
          <w:sz w:val="24"/>
        </w:rPr>
      </w:pPr>
      <w:r>
        <w:rPr>
          <w:rFonts w:hint="eastAsia" w:ascii="黑体" w:hAnsi="黑体" w:eastAsia="黑体" w:cs="黑体"/>
          <w:b w:val="0"/>
          <w:bCs w:val="0"/>
          <w:color w:val="333333"/>
          <w:sz w:val="32"/>
          <w:szCs w:val="32"/>
        </w:rPr>
        <w:t>四、政府信息公开行政复议、行政诉讼情况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14:paraId="432E1C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5495BBA">
            <w:pPr>
              <w:widowControl/>
              <w:jc w:val="center"/>
              <w:rPr>
                <w:rFonts w:hint="eastAsia"/>
              </w:rPr>
            </w:pPr>
            <w:r>
              <w:rPr>
                <w:rFonts w:hint="eastAsia" w:ascii="宋体" w:hAnsi="宋体" w:eastAsia="宋体" w:cs="宋体"/>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04D3C63">
            <w:pPr>
              <w:widowControl/>
              <w:jc w:val="center"/>
              <w:rPr>
                <w:rFonts w:hint="eastAsia"/>
              </w:rPr>
            </w:pPr>
            <w:r>
              <w:rPr>
                <w:rFonts w:hint="eastAsia" w:ascii="宋体" w:hAnsi="宋体" w:eastAsia="宋体" w:cs="宋体"/>
                <w:kern w:val="0"/>
                <w:sz w:val="20"/>
                <w:szCs w:val="20"/>
              </w:rPr>
              <w:t>行政诉讼</w:t>
            </w:r>
          </w:p>
        </w:tc>
      </w:tr>
      <w:tr w14:paraId="6BB30E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781C255">
            <w:pPr>
              <w:widowControl/>
              <w:jc w:val="center"/>
              <w:rPr>
                <w:rFonts w:hint="eastAsia"/>
              </w:rPr>
            </w:pPr>
            <w:r>
              <w:rPr>
                <w:rFonts w:hint="eastAsia" w:ascii="宋体" w:hAnsi="宋体" w:eastAsia="宋体" w:cs="宋体"/>
                <w:kern w:val="0"/>
                <w:sz w:val="20"/>
                <w:szCs w:val="20"/>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24A964D">
            <w:pPr>
              <w:widowControl/>
              <w:jc w:val="center"/>
              <w:rPr>
                <w:rFonts w:hint="eastAsia"/>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655D6AF">
            <w:pPr>
              <w:widowControl/>
              <w:jc w:val="center"/>
              <w:rPr>
                <w:rFonts w:hint="eastAsia"/>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0E65BB2">
            <w:pPr>
              <w:widowControl/>
              <w:jc w:val="center"/>
              <w:rPr>
                <w:rFonts w:hint="eastAsia"/>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E467BAD">
            <w:pPr>
              <w:widowControl/>
              <w:jc w:val="center"/>
              <w:rPr>
                <w:rFonts w:hint="eastAsia"/>
              </w:rPr>
            </w:pPr>
            <w:r>
              <w:rPr>
                <w:rFonts w:hint="eastAsia" w:ascii="宋体" w:hAnsi="宋体" w:eastAsia="宋体" w:cs="宋体"/>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B1D8039">
            <w:pPr>
              <w:widowControl/>
              <w:jc w:val="center"/>
              <w:rPr>
                <w:rFonts w:hint="eastAsia"/>
              </w:rPr>
            </w:pPr>
            <w:r>
              <w:rPr>
                <w:rFonts w:hint="eastAsia" w:ascii="宋体" w:hAnsi="宋体" w:eastAsia="宋体" w:cs="宋体"/>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C3050BA">
            <w:pPr>
              <w:widowControl/>
              <w:jc w:val="center"/>
              <w:rPr>
                <w:rFonts w:hint="eastAsia"/>
              </w:rPr>
            </w:pPr>
            <w:r>
              <w:rPr>
                <w:rFonts w:hint="eastAsia" w:ascii="宋体" w:hAnsi="宋体" w:eastAsia="宋体" w:cs="宋体"/>
                <w:kern w:val="0"/>
                <w:sz w:val="20"/>
                <w:szCs w:val="20"/>
              </w:rPr>
              <w:t>复议后起诉</w:t>
            </w:r>
          </w:p>
        </w:tc>
      </w:tr>
      <w:tr w14:paraId="34E649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BD8BB12">
            <w:pPr>
              <w:rPr>
                <w:rFonts w:hint="eastAsia" w:ascii="宋体"/>
                <w:sz w:val="24"/>
              </w:rPr>
            </w:pPr>
          </w:p>
        </w:tc>
        <w:tc>
          <w:tcPr>
            <w:tcW w:w="65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8BA93EC">
            <w:pPr>
              <w:rPr>
                <w:rFonts w:hint="eastAsia" w:ascii="宋体"/>
                <w:sz w:val="24"/>
              </w:rPr>
            </w:pPr>
          </w:p>
        </w:tc>
        <w:tc>
          <w:tcPr>
            <w:tcW w:w="65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39C5C35">
            <w:pPr>
              <w:rPr>
                <w:rFonts w:hint="eastAsia" w:ascii="宋体"/>
                <w:sz w:val="24"/>
              </w:rPr>
            </w:pPr>
          </w:p>
        </w:tc>
        <w:tc>
          <w:tcPr>
            <w:tcW w:w="65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7FE27AB">
            <w:pPr>
              <w:rPr>
                <w:rFonts w:hint="eastAsia" w:ascii="宋体"/>
                <w:sz w:val="24"/>
              </w:rPr>
            </w:pPr>
          </w:p>
        </w:tc>
        <w:tc>
          <w:tcPr>
            <w:tcW w:w="65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A608962">
            <w:pPr>
              <w:rPr>
                <w:rFonts w:hint="eastAsia" w:ascii="宋体"/>
                <w:sz w:val="24"/>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09356C6">
            <w:pPr>
              <w:widowControl/>
              <w:jc w:val="center"/>
              <w:rPr>
                <w:rFonts w:hint="eastAsia"/>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733AED5">
            <w:pPr>
              <w:widowControl/>
              <w:jc w:val="center"/>
              <w:rPr>
                <w:rFonts w:hint="eastAsia"/>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F1E4F2A">
            <w:pPr>
              <w:widowControl/>
              <w:jc w:val="center"/>
              <w:rPr>
                <w:rFonts w:hint="eastAsia"/>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A5FDFC7">
            <w:pPr>
              <w:widowControl/>
              <w:jc w:val="center"/>
              <w:rPr>
                <w:rFonts w:hint="eastAsia"/>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FF76587">
            <w:pPr>
              <w:widowControl/>
              <w:jc w:val="center"/>
              <w:rPr>
                <w:rFonts w:hint="eastAsia"/>
              </w:rPr>
            </w:pPr>
            <w:r>
              <w:rPr>
                <w:rFonts w:hint="eastAsia" w:ascii="宋体" w:hAnsi="宋体" w:eastAsia="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F25E139">
            <w:pPr>
              <w:widowControl/>
              <w:jc w:val="center"/>
              <w:rPr>
                <w:rFonts w:hint="eastAsia"/>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E16A4F8">
            <w:pPr>
              <w:widowControl/>
              <w:jc w:val="center"/>
              <w:rPr>
                <w:rFonts w:hint="eastAsia"/>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DACE1AA">
            <w:pPr>
              <w:widowControl/>
              <w:jc w:val="center"/>
              <w:rPr>
                <w:rFonts w:hint="eastAsia"/>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2A74D18">
            <w:pPr>
              <w:widowControl/>
              <w:jc w:val="center"/>
              <w:rPr>
                <w:rFonts w:hint="eastAsia"/>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7DFBC68">
            <w:pPr>
              <w:widowControl/>
              <w:jc w:val="center"/>
              <w:rPr>
                <w:rFonts w:hint="eastAsia"/>
              </w:rPr>
            </w:pPr>
            <w:r>
              <w:rPr>
                <w:rFonts w:hint="eastAsia" w:ascii="宋体" w:hAnsi="宋体" w:eastAsia="宋体" w:cs="宋体"/>
                <w:color w:val="000000"/>
                <w:kern w:val="0"/>
                <w:sz w:val="20"/>
                <w:szCs w:val="20"/>
              </w:rPr>
              <w:t>总计</w:t>
            </w:r>
          </w:p>
        </w:tc>
      </w:tr>
      <w:tr w14:paraId="35CB00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925F7DC">
            <w:pPr>
              <w:widowControl/>
              <w:jc w:val="center"/>
              <w:rPr>
                <w:rFonts w:hint="eastAsia"/>
                <w:color w:val="000000" w:themeColor="text1"/>
              </w:rPr>
            </w:pPr>
            <w:r>
              <w:rPr>
                <w:rFonts w:hint="eastAsia"/>
                <w:color w:val="000000" w:themeColor="text1"/>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F385678">
            <w:pPr>
              <w:widowControl/>
              <w:jc w:val="center"/>
              <w:rPr>
                <w:rFonts w:hint="eastAsia"/>
                <w:color w:val="000000" w:themeColor="text1"/>
              </w:rPr>
            </w:pPr>
            <w:r>
              <w:rPr>
                <w:rFonts w:hint="eastAsia" w:ascii="黑体" w:hAnsi="宋体" w:eastAsia="黑体" w:cs="黑体"/>
                <w:color w:val="000000" w:themeColor="text1"/>
                <w:kern w:val="0"/>
                <w:sz w:val="20"/>
                <w:szCs w:val="20"/>
              </w:rPr>
              <w:t>0 </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74256B5">
            <w:pPr>
              <w:widowControl/>
              <w:jc w:val="center"/>
              <w:rPr>
                <w:rFonts w:hint="eastAsia"/>
                <w:color w:val="000000" w:themeColor="text1"/>
              </w:rPr>
            </w:pPr>
            <w:r>
              <w:rPr>
                <w:rFonts w:hint="eastAsia"/>
                <w:color w:val="000000" w:themeColor="text1"/>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703D1C2">
            <w:pPr>
              <w:widowControl/>
              <w:jc w:val="center"/>
              <w:rPr>
                <w:rFonts w:hint="eastAsia"/>
                <w:color w:val="000000" w:themeColor="text1"/>
              </w:rPr>
            </w:pPr>
            <w:r>
              <w:rPr>
                <w:rFonts w:hint="eastAsia" w:ascii="黑体" w:hAnsi="宋体" w:eastAsia="黑体" w:cs="黑体"/>
                <w:color w:val="000000" w:themeColor="text1"/>
                <w:kern w:val="0"/>
                <w:sz w:val="20"/>
                <w:szCs w:val="20"/>
              </w:rPr>
              <w:t> 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13AB4BA">
            <w:pPr>
              <w:widowControl/>
              <w:jc w:val="center"/>
              <w:rPr>
                <w:rFonts w:hint="eastAsia"/>
                <w:color w:val="000000" w:themeColor="text1"/>
              </w:rPr>
            </w:pPr>
            <w:r>
              <w:rPr>
                <w:rFonts w:hint="eastAsia"/>
                <w:color w:val="000000" w:themeColor="text1"/>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3FDCFCC">
            <w:pPr>
              <w:widowControl/>
              <w:jc w:val="center"/>
              <w:rPr>
                <w:rFonts w:hint="eastAsia"/>
                <w:color w:val="000000" w:themeColor="text1"/>
              </w:rPr>
            </w:pPr>
            <w:r>
              <w:rPr>
                <w:rFonts w:hint="eastAsia"/>
                <w:color w:val="000000" w:themeColor="text1"/>
              </w:rPr>
              <w:t>6</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1C9E89A">
            <w:pPr>
              <w:widowControl/>
              <w:jc w:val="center"/>
              <w:rPr>
                <w:rFonts w:hint="eastAsia" w:eastAsiaTheme="minorEastAsia"/>
                <w:color w:val="000000" w:themeColor="text1"/>
                <w:lang w:val="en-US" w:eastAsia="zh-CN"/>
              </w:rPr>
            </w:pPr>
            <w:r>
              <w:rPr>
                <w:rFonts w:hint="eastAsia"/>
                <w:color w:val="000000" w:themeColor="text1"/>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4C4FA5F">
            <w:pPr>
              <w:widowControl/>
              <w:jc w:val="center"/>
              <w:rPr>
                <w:rFonts w:hint="eastAsia"/>
                <w:color w:val="000000" w:themeColor="text1"/>
              </w:rPr>
            </w:pPr>
            <w:r>
              <w:rPr>
                <w:rFonts w:hint="eastAsia"/>
                <w:color w:val="000000" w:themeColor="text1"/>
              </w:rPr>
              <w:t>6</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AE4A149">
            <w:pPr>
              <w:widowControl/>
              <w:jc w:val="center"/>
              <w:rPr>
                <w:rFonts w:hint="eastAsia"/>
                <w:color w:val="000000" w:themeColor="text1"/>
              </w:rPr>
            </w:pPr>
            <w:r>
              <w:rPr>
                <w:rFonts w:hint="eastAsia"/>
                <w:color w:val="000000" w:themeColor="text1"/>
              </w:rPr>
              <w:t>2</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2121CD6">
            <w:pPr>
              <w:widowControl/>
              <w:jc w:val="center"/>
              <w:rPr>
                <w:rFonts w:hint="eastAsia"/>
                <w:color w:val="000000" w:themeColor="text1"/>
              </w:rPr>
            </w:pPr>
            <w:r>
              <w:rPr>
                <w:rFonts w:hint="eastAsia"/>
                <w:color w:val="000000" w:themeColor="text1"/>
              </w:rPr>
              <w:t>14</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4B60693">
            <w:pPr>
              <w:widowControl/>
              <w:jc w:val="center"/>
              <w:rPr>
                <w:rFonts w:hint="eastAsia"/>
                <w:color w:val="000000" w:themeColor="text1"/>
              </w:rPr>
            </w:pPr>
            <w:r>
              <w:rPr>
                <w:rFonts w:hint="eastAsia" w:ascii="黑体" w:hAnsi="宋体" w:eastAsia="黑体" w:cs="黑体"/>
                <w:color w:val="000000" w:themeColor="text1"/>
                <w:kern w:val="0"/>
                <w:sz w:val="20"/>
                <w:szCs w:val="20"/>
              </w:rPr>
              <w:t>6</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1B51B3D">
            <w:pPr>
              <w:widowControl/>
              <w:jc w:val="center"/>
              <w:rPr>
                <w:rFonts w:hint="eastAsia"/>
                <w:color w:val="000000" w:themeColor="text1"/>
              </w:rPr>
            </w:pPr>
            <w:r>
              <w:rPr>
                <w:rFonts w:hint="eastAsia"/>
                <w:color w:val="000000" w:themeColor="text1"/>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3B55B2D">
            <w:pPr>
              <w:widowControl/>
              <w:jc w:val="center"/>
              <w:rPr>
                <w:rFonts w:hint="eastAsia"/>
                <w:color w:val="000000" w:themeColor="text1"/>
              </w:rPr>
            </w:pPr>
            <w:r>
              <w:rPr>
                <w:rFonts w:hint="eastAsia"/>
                <w:color w:val="000000" w:themeColor="text1"/>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D78BC07">
            <w:pPr>
              <w:widowControl/>
              <w:jc w:val="center"/>
              <w:rPr>
                <w:rFonts w:hint="eastAsia"/>
                <w:color w:val="000000" w:themeColor="text1"/>
              </w:rPr>
            </w:pPr>
            <w:r>
              <w:rPr>
                <w:rFonts w:hint="eastAsia" w:ascii="黑体" w:hAnsi="宋体" w:eastAsia="黑体" w:cs="黑体"/>
                <w:color w:val="000000" w:themeColor="text1"/>
                <w:kern w:val="0"/>
                <w:sz w:val="20"/>
                <w:szCs w:val="20"/>
              </w:rPr>
              <w:t> 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D211333">
            <w:pPr>
              <w:rPr>
                <w:rFonts w:hint="eastAsia" w:ascii="宋体"/>
                <w:color w:val="000000" w:themeColor="text1"/>
                <w:sz w:val="24"/>
              </w:rPr>
            </w:pPr>
            <w:r>
              <w:rPr>
                <w:rFonts w:hint="eastAsia"/>
                <w:color w:val="000000" w:themeColor="text1"/>
              </w:rPr>
              <w:t>6</w:t>
            </w:r>
          </w:p>
        </w:tc>
      </w:tr>
    </w:tbl>
    <w:p w14:paraId="3719B7BC">
      <w:pPr>
        <w:pStyle w:val="5"/>
        <w:keepNext w:val="0"/>
        <w:keepLines w:val="0"/>
        <w:pageBreakBefore w:val="0"/>
        <w:widowControl/>
        <w:kinsoku/>
        <w:wordWrap/>
        <w:overflowPunct/>
        <w:topLinePunct w:val="0"/>
        <w:autoSpaceDE/>
        <w:autoSpaceDN/>
        <w:bidi w:val="0"/>
        <w:adjustRightInd/>
        <w:snapToGrid/>
        <w:spacing w:before="157" w:beforeLines="50" w:beforeAutospacing="0" w:afterAutospacing="0" w:line="500" w:lineRule="exact"/>
        <w:ind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五、存在的主要问题及改进情况</w:t>
      </w:r>
    </w:p>
    <w:p w14:paraId="4558876C">
      <w:pPr>
        <w:keepNext w:val="0"/>
        <w:keepLines w:val="0"/>
        <w:pageBreakBefore w:val="0"/>
        <w:kinsoku/>
        <w:wordWrap/>
        <w:overflowPunct/>
        <w:topLinePunct w:val="0"/>
        <w:autoSpaceDE/>
        <w:autoSpaceDN/>
        <w:bidi w:val="0"/>
        <w:adjustRightInd/>
        <w:snapToGrid/>
        <w:spacing w:before="157" w:beforeLines="50" w:line="500" w:lineRule="exact"/>
        <w:ind w:firstLine="640" w:firstLineChars="200"/>
        <w:textAlignment w:val="auto"/>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rPr>
        <w:t>我局政务公开工作虽然取得一定成效，但也还存在一些不足：一是政务公开工作机制有待进一步</w:t>
      </w:r>
      <w:r>
        <w:rPr>
          <w:rFonts w:hint="eastAsia" w:ascii="仿宋" w:hAnsi="仿宋" w:eastAsia="仿宋" w:cs="仿宋"/>
          <w:color w:val="000000" w:themeColor="text1"/>
          <w:sz w:val="32"/>
          <w:szCs w:val="32"/>
          <w:lang w:val="en-US" w:eastAsia="zh-CN"/>
        </w:rPr>
        <w:t>完善</w:t>
      </w:r>
      <w:r>
        <w:rPr>
          <w:rFonts w:hint="eastAsia" w:ascii="仿宋" w:hAnsi="仿宋" w:eastAsia="仿宋" w:cs="仿宋"/>
          <w:color w:val="000000" w:themeColor="text1"/>
          <w:sz w:val="32"/>
          <w:szCs w:val="32"/>
        </w:rPr>
        <w:t>；二是政务公开工作队伍需进一步加强建设；三是在政策解读方面，主要是转发公安部、省公安厅相关内容为主，结合本地实际解读较少</w:t>
      </w:r>
      <w:r>
        <w:rPr>
          <w:rFonts w:hint="eastAsia" w:ascii="仿宋" w:hAnsi="仿宋" w:eastAsia="仿宋" w:cs="仿宋"/>
          <w:color w:val="000000" w:themeColor="text1"/>
          <w:sz w:val="32"/>
          <w:szCs w:val="32"/>
          <w:lang w:eastAsia="zh-CN"/>
        </w:rPr>
        <w:t>。</w:t>
      </w:r>
    </w:p>
    <w:p w14:paraId="26EF1AB0">
      <w:pPr>
        <w:keepNext w:val="0"/>
        <w:keepLines w:val="0"/>
        <w:pageBreakBefore w:val="0"/>
        <w:kinsoku/>
        <w:wordWrap/>
        <w:overflowPunct/>
        <w:topLinePunct w:val="0"/>
        <w:autoSpaceDE/>
        <w:autoSpaceDN/>
        <w:bidi w:val="0"/>
        <w:adjustRightInd/>
        <w:snapToGrid/>
        <w:spacing w:before="157" w:beforeLines="50" w:line="50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2025年我局将主要做好以下工作：一是不断健全政务公开工作机制。贯彻落实市委、市政府关于做好政务公开工作的新要求，不断完善我局政务公开工作制度，进一步完善政府信息主动公开、依申请公开工作流程；严格政务公开各项工作时限，提升政务公开工作制度化、规范化水平；定期对政务公开工作落实情况进行督导检查，对发现的问题及时整改。二是深化政务公开工作学习培训。举办政务公开工作培训班，对局属各单位负责政务公开工作的同志进行培训，切实提升政务公开工作人员的业务能力和服务水平。三是切实加强政务公开平台建设。强化我局政务微博、微信的规范运行管理，不断完善、拓展各项功能，充分发挥各类媒体作用，切实为我局政务公开工作提供保障。</w:t>
      </w:r>
    </w:p>
    <w:p w14:paraId="33F82306">
      <w:pPr>
        <w:pStyle w:val="5"/>
        <w:keepNext w:val="0"/>
        <w:keepLines w:val="0"/>
        <w:pageBreakBefore w:val="0"/>
        <w:widowControl/>
        <w:kinsoku/>
        <w:wordWrap/>
        <w:overflowPunct/>
        <w:topLinePunct w:val="0"/>
        <w:autoSpaceDE/>
        <w:autoSpaceDN/>
        <w:bidi w:val="0"/>
        <w:adjustRightInd/>
        <w:snapToGrid/>
        <w:spacing w:before="157" w:beforeLines="50" w:beforeAutospacing="0" w:afterAutospacing="0" w:line="500" w:lineRule="exact"/>
        <w:ind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六、其他需要报告的事项</w:t>
      </w:r>
    </w:p>
    <w:p w14:paraId="5FC42B02">
      <w:pPr>
        <w:keepNext w:val="0"/>
        <w:keepLines w:val="0"/>
        <w:pageBreakBefore w:val="0"/>
        <w:kinsoku/>
        <w:wordWrap/>
        <w:overflowPunct/>
        <w:topLinePunct w:val="0"/>
        <w:autoSpaceDE/>
        <w:autoSpaceDN/>
        <w:bidi w:val="0"/>
        <w:adjustRightInd/>
        <w:snapToGrid/>
        <w:spacing w:before="157" w:beforeLines="50" w:line="50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认真贯彻执行国务院办公厅《政府信息公开信息处理费管理办法》和《关于政府信息公开处理费管理有关事项的通知》，2024年我局未收取信息处理费。无其他需要报告事项。</w:t>
      </w:r>
    </w:p>
    <w:p w14:paraId="4D3764B2">
      <w:pPr>
        <w:rPr>
          <w:rFonts w:hint="eastAsia"/>
        </w:rPr>
      </w:pPr>
    </w:p>
    <w:sectPr>
      <w:pgSz w:w="11906" w:h="16838"/>
      <w:pgMar w:top="1417" w:right="1417" w:bottom="1417"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新蒂小丸子">
    <w:panose1 w:val="03000600000000000000"/>
    <w:charset w:val="86"/>
    <w:family w:val="auto"/>
    <w:pitch w:val="default"/>
    <w:sig w:usb0="80000023" w:usb1="08000022" w:usb2="00000010" w:usb3="00000000" w:csb0="201E0001" w:csb1="00000000"/>
  </w:font>
  <w:font w:name="微软雅黑">
    <w:panose1 w:val="020B0503020204020204"/>
    <w:charset w:val="86"/>
    <w:family w:val="auto"/>
    <w:pitch w:val="default"/>
    <w:sig w:usb0="80000287" w:usb1="2ACF3C50"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方正喵呜体">
    <w:panose1 w:val="02010600010101010101"/>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蒙纳简喜宴体P">
    <w:panose1 w:val="00000500000000000000"/>
    <w:charset w:val="88"/>
    <w:family w:val="auto"/>
    <w:pitch w:val="default"/>
    <w:sig w:usb0="A00002FF" w:usb1="3ACFFD7A" w:usb2="00000016" w:usb3="00000000" w:csb0="001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711B0ECE"/>
    <w:rsid w:val="00013F02"/>
    <w:rsid w:val="000256C8"/>
    <w:rsid w:val="00027C5A"/>
    <w:rsid w:val="00057069"/>
    <w:rsid w:val="00065A21"/>
    <w:rsid w:val="00095844"/>
    <w:rsid w:val="000A0964"/>
    <w:rsid w:val="000A6A9D"/>
    <w:rsid w:val="000B4C41"/>
    <w:rsid w:val="000C5D68"/>
    <w:rsid w:val="000C6D35"/>
    <w:rsid w:val="000E19E5"/>
    <w:rsid w:val="000F4618"/>
    <w:rsid w:val="00101B85"/>
    <w:rsid w:val="00107F00"/>
    <w:rsid w:val="00116A4B"/>
    <w:rsid w:val="0012299E"/>
    <w:rsid w:val="001330D0"/>
    <w:rsid w:val="00135B90"/>
    <w:rsid w:val="001445ED"/>
    <w:rsid w:val="00144EFE"/>
    <w:rsid w:val="00151CF0"/>
    <w:rsid w:val="00152F10"/>
    <w:rsid w:val="00172382"/>
    <w:rsid w:val="001852DD"/>
    <w:rsid w:val="001B1605"/>
    <w:rsid w:val="001B799F"/>
    <w:rsid w:val="001C0565"/>
    <w:rsid w:val="001E0F2B"/>
    <w:rsid w:val="001E5692"/>
    <w:rsid w:val="001F0312"/>
    <w:rsid w:val="00212FD2"/>
    <w:rsid w:val="002225EA"/>
    <w:rsid w:val="002249FD"/>
    <w:rsid w:val="002300EB"/>
    <w:rsid w:val="0024114E"/>
    <w:rsid w:val="002428CB"/>
    <w:rsid w:val="00242B0E"/>
    <w:rsid w:val="002462FB"/>
    <w:rsid w:val="00256042"/>
    <w:rsid w:val="00262A01"/>
    <w:rsid w:val="00281649"/>
    <w:rsid w:val="00283659"/>
    <w:rsid w:val="00283CD9"/>
    <w:rsid w:val="002868A1"/>
    <w:rsid w:val="002946F2"/>
    <w:rsid w:val="00295F3B"/>
    <w:rsid w:val="002B525A"/>
    <w:rsid w:val="002C11D9"/>
    <w:rsid w:val="002C327C"/>
    <w:rsid w:val="002C6812"/>
    <w:rsid w:val="002C7FD5"/>
    <w:rsid w:val="002D430F"/>
    <w:rsid w:val="002D51BB"/>
    <w:rsid w:val="002E1999"/>
    <w:rsid w:val="002F42B8"/>
    <w:rsid w:val="002F58E3"/>
    <w:rsid w:val="003009B5"/>
    <w:rsid w:val="00307779"/>
    <w:rsid w:val="003231C6"/>
    <w:rsid w:val="003239B3"/>
    <w:rsid w:val="0033645D"/>
    <w:rsid w:val="00375868"/>
    <w:rsid w:val="003B5634"/>
    <w:rsid w:val="003B6A0E"/>
    <w:rsid w:val="003F6F33"/>
    <w:rsid w:val="004028D5"/>
    <w:rsid w:val="00404FEC"/>
    <w:rsid w:val="00413FFE"/>
    <w:rsid w:val="00420071"/>
    <w:rsid w:val="004353D5"/>
    <w:rsid w:val="00455CAD"/>
    <w:rsid w:val="00481C7E"/>
    <w:rsid w:val="00490644"/>
    <w:rsid w:val="004C183E"/>
    <w:rsid w:val="004D03BF"/>
    <w:rsid w:val="004E1067"/>
    <w:rsid w:val="004E26BA"/>
    <w:rsid w:val="0050063F"/>
    <w:rsid w:val="005057BD"/>
    <w:rsid w:val="00511831"/>
    <w:rsid w:val="0051342A"/>
    <w:rsid w:val="00525F54"/>
    <w:rsid w:val="005261D1"/>
    <w:rsid w:val="00531010"/>
    <w:rsid w:val="00533FE5"/>
    <w:rsid w:val="00567798"/>
    <w:rsid w:val="005706B9"/>
    <w:rsid w:val="00570C70"/>
    <w:rsid w:val="005741E3"/>
    <w:rsid w:val="00583F2D"/>
    <w:rsid w:val="00586D73"/>
    <w:rsid w:val="005901F3"/>
    <w:rsid w:val="00590CAB"/>
    <w:rsid w:val="00594CC3"/>
    <w:rsid w:val="005A2575"/>
    <w:rsid w:val="005D649C"/>
    <w:rsid w:val="005E221E"/>
    <w:rsid w:val="005E2838"/>
    <w:rsid w:val="005E6021"/>
    <w:rsid w:val="005E6A82"/>
    <w:rsid w:val="00606994"/>
    <w:rsid w:val="006140C9"/>
    <w:rsid w:val="00616A81"/>
    <w:rsid w:val="00620EE6"/>
    <w:rsid w:val="00625829"/>
    <w:rsid w:val="00635EE7"/>
    <w:rsid w:val="00647548"/>
    <w:rsid w:val="00657CBB"/>
    <w:rsid w:val="00666C8B"/>
    <w:rsid w:val="006A6206"/>
    <w:rsid w:val="006A6627"/>
    <w:rsid w:val="006B3262"/>
    <w:rsid w:val="006C4432"/>
    <w:rsid w:val="006E0150"/>
    <w:rsid w:val="006E1F24"/>
    <w:rsid w:val="006F65A1"/>
    <w:rsid w:val="0070458B"/>
    <w:rsid w:val="00705C9E"/>
    <w:rsid w:val="0071244A"/>
    <w:rsid w:val="0071380A"/>
    <w:rsid w:val="0073088A"/>
    <w:rsid w:val="007448DE"/>
    <w:rsid w:val="00752BB9"/>
    <w:rsid w:val="00771F2D"/>
    <w:rsid w:val="00787DFE"/>
    <w:rsid w:val="007954E4"/>
    <w:rsid w:val="007B7489"/>
    <w:rsid w:val="007E47ED"/>
    <w:rsid w:val="007E5260"/>
    <w:rsid w:val="008029E8"/>
    <w:rsid w:val="0081415A"/>
    <w:rsid w:val="008222C8"/>
    <w:rsid w:val="008309FE"/>
    <w:rsid w:val="00837024"/>
    <w:rsid w:val="008404A2"/>
    <w:rsid w:val="00847E43"/>
    <w:rsid w:val="00850024"/>
    <w:rsid w:val="008527F2"/>
    <w:rsid w:val="00852BA7"/>
    <w:rsid w:val="00867EBE"/>
    <w:rsid w:val="00874325"/>
    <w:rsid w:val="0087654D"/>
    <w:rsid w:val="00880BC0"/>
    <w:rsid w:val="00893B2C"/>
    <w:rsid w:val="008A6D0F"/>
    <w:rsid w:val="008B1625"/>
    <w:rsid w:val="008C541E"/>
    <w:rsid w:val="008C670D"/>
    <w:rsid w:val="008D368F"/>
    <w:rsid w:val="008D67D7"/>
    <w:rsid w:val="008F6C83"/>
    <w:rsid w:val="00906733"/>
    <w:rsid w:val="00951162"/>
    <w:rsid w:val="00956716"/>
    <w:rsid w:val="00962010"/>
    <w:rsid w:val="009738CD"/>
    <w:rsid w:val="00977B78"/>
    <w:rsid w:val="00982A30"/>
    <w:rsid w:val="00984C3E"/>
    <w:rsid w:val="009946DB"/>
    <w:rsid w:val="00997407"/>
    <w:rsid w:val="009A0422"/>
    <w:rsid w:val="009A1532"/>
    <w:rsid w:val="009B0EE3"/>
    <w:rsid w:val="009B4A1B"/>
    <w:rsid w:val="009C4555"/>
    <w:rsid w:val="009F1161"/>
    <w:rsid w:val="00A17128"/>
    <w:rsid w:val="00A26669"/>
    <w:rsid w:val="00A31164"/>
    <w:rsid w:val="00A4081A"/>
    <w:rsid w:val="00A80EC0"/>
    <w:rsid w:val="00AA2C84"/>
    <w:rsid w:val="00AB1120"/>
    <w:rsid w:val="00AB2A00"/>
    <w:rsid w:val="00AC7267"/>
    <w:rsid w:val="00AF2A90"/>
    <w:rsid w:val="00AF6F7F"/>
    <w:rsid w:val="00B02728"/>
    <w:rsid w:val="00B2794E"/>
    <w:rsid w:val="00B35C04"/>
    <w:rsid w:val="00B372FF"/>
    <w:rsid w:val="00B47F47"/>
    <w:rsid w:val="00B77BCA"/>
    <w:rsid w:val="00B80232"/>
    <w:rsid w:val="00BA5D8D"/>
    <w:rsid w:val="00BB1882"/>
    <w:rsid w:val="00BD322C"/>
    <w:rsid w:val="00BD599F"/>
    <w:rsid w:val="00BE404D"/>
    <w:rsid w:val="00C403B3"/>
    <w:rsid w:val="00C62A44"/>
    <w:rsid w:val="00C6342D"/>
    <w:rsid w:val="00C779D8"/>
    <w:rsid w:val="00C87867"/>
    <w:rsid w:val="00C915A0"/>
    <w:rsid w:val="00CA4D0C"/>
    <w:rsid w:val="00CA700D"/>
    <w:rsid w:val="00CB231F"/>
    <w:rsid w:val="00CD4831"/>
    <w:rsid w:val="00CE04A0"/>
    <w:rsid w:val="00D033B1"/>
    <w:rsid w:val="00D1042B"/>
    <w:rsid w:val="00D1582F"/>
    <w:rsid w:val="00D22D9B"/>
    <w:rsid w:val="00D76CDB"/>
    <w:rsid w:val="00D90899"/>
    <w:rsid w:val="00D944F5"/>
    <w:rsid w:val="00D95D6D"/>
    <w:rsid w:val="00DA269B"/>
    <w:rsid w:val="00DA5280"/>
    <w:rsid w:val="00DB1F89"/>
    <w:rsid w:val="00DC593E"/>
    <w:rsid w:val="00DD307E"/>
    <w:rsid w:val="00DD3AAC"/>
    <w:rsid w:val="00DD6324"/>
    <w:rsid w:val="00DE4507"/>
    <w:rsid w:val="00E10A84"/>
    <w:rsid w:val="00E31A0E"/>
    <w:rsid w:val="00E619BC"/>
    <w:rsid w:val="00E839A2"/>
    <w:rsid w:val="00E90E1A"/>
    <w:rsid w:val="00E92262"/>
    <w:rsid w:val="00E94CDE"/>
    <w:rsid w:val="00EC51CE"/>
    <w:rsid w:val="00ED651F"/>
    <w:rsid w:val="00EE082E"/>
    <w:rsid w:val="00EE194C"/>
    <w:rsid w:val="00EE21EA"/>
    <w:rsid w:val="00EE7F39"/>
    <w:rsid w:val="00EF3F14"/>
    <w:rsid w:val="00EF6A17"/>
    <w:rsid w:val="00F002B1"/>
    <w:rsid w:val="00F030E6"/>
    <w:rsid w:val="00F272D4"/>
    <w:rsid w:val="00F27B8E"/>
    <w:rsid w:val="00F44D9E"/>
    <w:rsid w:val="00F46E2B"/>
    <w:rsid w:val="00F55175"/>
    <w:rsid w:val="00F70AB8"/>
    <w:rsid w:val="00F7525B"/>
    <w:rsid w:val="00F845B2"/>
    <w:rsid w:val="00FA2239"/>
    <w:rsid w:val="00FB46EC"/>
    <w:rsid w:val="00FC2AC2"/>
    <w:rsid w:val="00FE1BBF"/>
    <w:rsid w:val="00FF09EA"/>
    <w:rsid w:val="00FF41A3"/>
    <w:rsid w:val="00FF6841"/>
    <w:rsid w:val="09AE1C81"/>
    <w:rsid w:val="11930842"/>
    <w:rsid w:val="22BB55CD"/>
    <w:rsid w:val="711B0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0"/>
    <w:qFormat/>
    <w:uiPriority w:val="99"/>
    <w:pPr>
      <w:spacing w:after="120" w:line="580" w:lineRule="exact"/>
    </w:pPr>
    <w:rPr>
      <w:rFonts w:ascii="Calibri" w:hAnsi="Calibri" w:eastAsia="仿宋_GB2312" w:cs="Times New Roman"/>
      <w:sz w:val="32"/>
      <w:szCs w:val="32"/>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uiPriority w:val="0"/>
    <w:rPr>
      <w:rFonts w:asciiTheme="minorHAnsi" w:hAnsiTheme="minorHAnsi" w:eastAsiaTheme="minorEastAsia" w:cstheme="minorBidi"/>
      <w:kern w:val="2"/>
      <w:sz w:val="18"/>
      <w:szCs w:val="18"/>
    </w:rPr>
  </w:style>
  <w:style w:type="character" w:customStyle="1" w:styleId="10">
    <w:name w:val="正文文本 Char"/>
    <w:basedOn w:val="7"/>
    <w:link w:val="2"/>
    <w:qFormat/>
    <w:uiPriority w:val="99"/>
    <w:rPr>
      <w:rFonts w:ascii="Calibri" w:hAnsi="Calibri" w:eastAsia="仿宋_GB2312"/>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2327</Words>
  <Characters>2404</Characters>
  <Lines>21</Lines>
  <Paragraphs>6</Paragraphs>
  <TotalTime>9</TotalTime>
  <ScaleCrop>false</ScaleCrop>
  <LinksUpToDate>false</LinksUpToDate>
  <CharactersWithSpaces>2647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2025-01-17T01:33:00Z</dcterms:created>
  <dc:creator>Administrator</dc:creator>
  <cp:lastModifiedBy>早开的晚霞。</cp:lastModifiedBy>
  <dcterms:modified xsi:type="dcterms:W3CDTF">2025-01-18T12:40:30Z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20E1DBF410EB41B69CDA5D7C239F81C0</vt:lpwstr>
  </property>
  <property fmtid="{D5CDD505-2E9C-101B-9397-08002B2CF9AE}" pid="4" name="KSOTemplateDocerSaveRecord">
    <vt:lpwstr>eyJoZGlkIjoiM2NlMTgyOGNjMDcxMDExZTMzODViNzVhZTEyY2YxYjkiLCJ1c2VySWQiOiI2NDU1NzE2NTcifQ==</vt:lpwstr>
  </property>
</Properties>
</file>